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40"/>
        <w:spacing w:before="120" w:after="12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420"/>
        <w:jc w:val="center"/>
        <w:spacing w:before="120" w:after="120" w:line="360" w:lineRule="auto"/>
        <w:rPr>
          <w:rFonts w:hint="eastAsia" w:ascii="宋体" w:hAnsi="宋体" w:eastAsia="宋体" w:cs="宋体"/>
          <w:b/>
          <w:color w:val="000000"/>
          <w:sz w:val="84"/>
          <w:szCs w:val="84"/>
          <w14:ligatures w14:val="none"/>
        </w:rPr>
      </w:pPr>
      <w:r>
        <w:rPr>
          <w:rFonts w:hint="eastAsia" w:ascii="宋体" w:hAnsi="宋体" w:eastAsia="宋体" w:cs="宋体"/>
          <w:b/>
          <w:color w:val="000000"/>
          <w:sz w:val="84"/>
          <w:szCs w:val="84"/>
          <w14:ligatures w14:val="none"/>
        </w:rPr>
      </w:r>
      <w:r/>
    </w:p>
    <w:p>
      <w:pPr>
        <w:ind w:firstLine="422"/>
        <w:jc w:val="center"/>
        <w:spacing w:before="120" w:after="120" w:line="360" w:lineRule="auto"/>
        <w:rPr>
          <w:rFonts w:hint="eastAsia" w:ascii="宋体" w:hAnsi="宋体" w:eastAsia="宋体" w:cs="宋体"/>
          <w:sz w:val="24"/>
          <w14:ligatures w14:val="none"/>
        </w:rPr>
      </w:pPr>
      <w:r>
        <w:rPr>
          <w:rFonts w:hint="eastAsia" w:ascii="宋体" w:hAnsi="宋体" w:eastAsia="宋体" w:cs="宋体"/>
          <w:color w:val="000000"/>
          <w:sz w:val="84"/>
          <w:szCs w:val="84"/>
          <w14:ligatures w14:val="none"/>
        </w:rPr>
        <w:t xml:space="preserve">招 标 文 件</w:t>
      </w:r>
      <w:r/>
    </w:p>
    <w:p>
      <w:pPr>
        <w:ind w:firstLine="161"/>
        <w:spacing w:before="120" w:after="120" w:line="360" w:lineRule="auto"/>
        <w:rPr>
          <w:rFonts w:hint="eastAsia" w:ascii="宋体" w:hAnsi="宋体" w:eastAsia="宋体" w:cs="宋体"/>
          <w:color w:val="000000"/>
          <w:sz w:val="32"/>
          <w:szCs w:val="32"/>
          <w14:ligatures w14:val="none"/>
        </w:rPr>
      </w:pPr>
      <w:r>
        <w:rPr>
          <w:rFonts w:hint="eastAsia" w:ascii="宋体" w:hAnsi="宋体" w:eastAsia="宋体" w:cs="宋体"/>
          <w:color w:val="000000"/>
          <w:sz w:val="32"/>
          <w:szCs w:val="32"/>
          <w14:ligatures w14:val="none"/>
        </w:rPr>
      </w:r>
      <w:r/>
    </w:p>
    <w:p>
      <w:pPr>
        <w:ind w:firstLine="161"/>
        <w:spacing w:before="120" w:after="120" w:line="360" w:lineRule="auto"/>
        <w:rPr>
          <w:rFonts w:hint="eastAsia" w:ascii="宋体" w:hAnsi="宋体" w:eastAsia="宋体" w:cs="宋体"/>
          <w:color w:val="000000"/>
          <w:sz w:val="32"/>
          <w:szCs w:val="32"/>
          <w14:ligatures w14:val="none"/>
        </w:rPr>
      </w:pPr>
      <w:r>
        <w:rPr>
          <w:rFonts w:hint="eastAsia" w:ascii="宋体" w:hAnsi="宋体" w:eastAsia="宋体" w:cs="宋体"/>
          <w:color w:val="000000"/>
          <w:sz w:val="32"/>
          <w:szCs w:val="32"/>
          <w14:ligatures w14:val="none"/>
        </w:rPr>
      </w:r>
      <w:r/>
    </w:p>
    <w:p>
      <w:pPr>
        <w:ind w:left="1940" w:hanging="1500"/>
        <w:spacing w:before="120" w:after="120" w:line="360" w:lineRule="auto"/>
        <w:rPr>
          <w:rFonts w:hint="eastAsia" w:ascii="宋体" w:hAnsi="宋体" w:eastAsia="宋体" w:cs="宋体"/>
          <w:color w:val="000000"/>
          <w:sz w:val="30"/>
          <w:szCs w:val="30"/>
          <w14:ligatures w14:val="none"/>
        </w:rPr>
      </w:pPr>
      <w:r>
        <w:rPr>
          <w:rFonts w:hint="eastAsia" w:ascii="宋体" w:hAnsi="宋体" w:eastAsia="宋体" w:cs="宋体"/>
          <w:color w:val="000000"/>
          <w:sz w:val="30"/>
          <w:szCs w:val="30"/>
          <w14:ligatures w14:val="none"/>
        </w:rPr>
        <w:t xml:space="preserve">项目名称：</w:t>
      </w:r>
      <w:bookmarkStart w:id="0" w:name="OLE_LINK8"/>
      <w:r>
        <w:rPr>
          <w:rFonts w:hint="eastAsia" w:ascii="宋体" w:hAnsi="宋体" w:eastAsia="宋体" w:cs="宋体"/>
          <w:color w:val="000000"/>
          <w:sz w:val="30"/>
          <w:szCs w:val="30"/>
          <w14:ligatures w14:val="none"/>
        </w:rPr>
        <w:t xml:space="preserve">响水县初中理化生实验操作标准化考场实验教学、考评设备及考试保障服务</w:t>
      </w:r>
      <w:bookmarkEnd w:id="0"/>
      <w:r>
        <w:rPr>
          <w:rFonts w:hint="eastAsia" w:ascii="宋体" w:hAnsi="宋体" w:eastAsia="宋体" w:cs="宋体"/>
          <w:color w:val="000000"/>
          <w:sz w:val="30"/>
          <w:szCs w:val="30"/>
          <w14:ligatures w14:val="none"/>
        </w:rPr>
        <w:t xml:space="preserve">等项目</w:t>
      </w:r>
      <w:r/>
    </w:p>
    <w:p>
      <w:pPr>
        <w:ind w:left="440" w:firstLine="181"/>
        <w:jc w:val="both"/>
        <w:spacing w:before="120" w:after="120" w:line="360" w:lineRule="auto"/>
        <w:rPr>
          <w:rFonts w:hint="eastAsia" w:ascii="宋体" w:hAnsi="宋体" w:eastAsia="宋体" w:cs="宋体"/>
          <w:color w:val="000000"/>
          <w:sz w:val="30"/>
          <w:szCs w:val="30"/>
          <w14:ligatures w14:val="none"/>
        </w:rPr>
      </w:pPr>
      <w:r>
        <w:rPr>
          <w:rFonts w:hint="eastAsia" w:ascii="宋体" w:hAnsi="宋体" w:eastAsia="宋体" w:cs="宋体"/>
          <w:color w:val="000000"/>
          <w:sz w:val="30"/>
          <w:szCs w:val="30"/>
          <w14:ligatures w14:val="none"/>
        </w:rPr>
      </w:r>
      <w:r/>
    </w:p>
    <w:p>
      <w:pPr>
        <w:ind w:left="440"/>
        <w:jc w:val="both"/>
        <w:spacing w:before="120" w:after="120" w:line="360" w:lineRule="auto"/>
        <w:rPr>
          <w:rFonts w:hint="eastAsia" w:ascii="宋体" w:hAnsi="宋体" w:eastAsia="宋体" w:cs="宋体"/>
          <w:sz w:val="30"/>
          <w:szCs w:val="30"/>
          <w14:ligatures w14:val="none"/>
        </w:rPr>
      </w:pPr>
      <w:r>
        <w:rPr>
          <w:rFonts w:hint="eastAsia" w:ascii="宋体" w:hAnsi="宋体" w:eastAsia="宋体" w:cs="宋体"/>
          <w:color w:val="000000"/>
          <w:sz w:val="30"/>
          <w:szCs w:val="30"/>
          <w14:ligatures w14:val="none"/>
        </w:rPr>
        <w:t xml:space="preserve">项目编号：JSZC-320921-JZCG-G2025-0013</w:t>
      </w:r>
      <w:r/>
    </w:p>
    <w:p>
      <w:pP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2160"/>
        <w:spacing w:before="150" w:after="0" w:line="480" w:lineRule="auto"/>
        <w:widowControl/>
        <w:rPr>
          <w:rFonts w:hint="eastAsia" w:ascii="宋体" w:hAnsi="宋体" w:eastAsia="宋体" w:cs="宋体"/>
          <w:sz w:val="24"/>
          <w14:ligatures w14:val="none"/>
        </w:rPr>
      </w:pPr>
      <w:r>
        <w:rPr>
          <w:rFonts w:hint="eastAsia" w:ascii="宋体" w:hAnsi="宋体" w:eastAsia="宋体" w:cs="宋体"/>
          <w:color w:val="000000"/>
          <w:sz w:val="36"/>
          <w:szCs w:val="32"/>
          <w14:ligatures w14:val="none"/>
        </w:rPr>
        <w:t xml:space="preserve">采购单位：响水县教育局 </w:t>
      </w:r>
      <w:r/>
    </w:p>
    <w:p>
      <w:pPr>
        <w:ind w:firstLine="181"/>
        <w:jc w:val="center"/>
        <w:spacing w:before="120" w:after="120" w:line="360" w:lineRule="auto"/>
        <w:rPr>
          <w:rFonts w:hint="eastAsia" w:ascii="宋体" w:hAnsi="宋体" w:eastAsia="宋体" w:cs="宋体"/>
          <w:color w:val="000000"/>
          <w:sz w:val="36"/>
          <w:szCs w:val="32"/>
          <w14:ligatures w14:val="none"/>
        </w:rPr>
      </w:pPr>
      <w:r>
        <w:rPr>
          <w:rFonts w:hint="eastAsia" w:ascii="宋体" w:hAnsi="宋体" w:eastAsia="宋体" w:cs="宋体"/>
          <w:color w:val="000000"/>
          <w:sz w:val="36"/>
          <w:szCs w:val="32"/>
          <w14:ligatures w14:val="none"/>
        </w:rPr>
      </w:r>
      <w:r/>
    </w:p>
    <w:p>
      <w:pPr>
        <w:ind w:firstLine="181"/>
        <w:jc w:val="center"/>
        <w:spacing w:before="120" w:after="120" w:line="360" w:lineRule="auto"/>
        <w:rPr>
          <w:rFonts w:hint="eastAsia" w:ascii="宋体" w:hAnsi="宋体" w:eastAsia="宋体" w:cs="宋体"/>
          <w:sz w:val="28"/>
          <w14:ligatures w14:val="none"/>
        </w:rPr>
      </w:pPr>
      <w:r>
        <w:rPr>
          <w:rFonts w:hint="eastAsia" w:ascii="宋体" w:hAnsi="宋体" w:eastAsia="宋体" w:cs="宋体"/>
          <w:color w:val="000000"/>
          <w:sz w:val="36"/>
          <w:szCs w:val="32"/>
          <w14:ligatures w14:val="none"/>
        </w:rPr>
        <w:t xml:space="preserve">2025年12月</w:t>
      </w:r>
      <w:r/>
    </w:p>
    <w:p>
      <w:pPr>
        <w:spacing w:before="120" w:after="12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                        </w:t>
      </w:r>
      <w:r>
        <w:rPr>
          <w:rFonts w:hint="eastAsia" w:ascii="宋体" w:hAnsi="宋体" w:eastAsia="宋体" w:cs="宋体"/>
          <w:sz w:val="24"/>
          <w14:ligatures w14:val="none"/>
        </w:rPr>
        <w:t xml:space="preserve"> </w:t>
      </w:r>
      <w:r/>
    </w:p>
    <w:p>
      <w:pPr>
        <w:ind w:firstLine="105"/>
        <w:jc w:val="center"/>
        <w:spacing w:after="0" w:line="360" w:lineRule="auto"/>
        <w:rPr>
          <w:rFonts w:hint="eastAsia" w:ascii="宋体" w:hAnsi="宋体" w:eastAsia="宋体" w:cs="宋体"/>
          <w:color w:val="000000"/>
          <w:sz w:val="21"/>
          <w:szCs w:val="21"/>
          <w14:ligatures w14:val="none"/>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sz w:val="21"/>
          <w:szCs w:val="21"/>
          <w14:ligatures w14:val="none"/>
        </w:rPr>
      </w:r>
      <w:r/>
    </w:p>
    <w:p>
      <w:pPr>
        <w:ind w:firstLine="105"/>
        <w:jc w:val="center"/>
        <w:spacing w:after="0" w:line="360" w:lineRule="auto"/>
        <w:rPr>
          <w:rFonts w:hint="eastAsia" w:ascii="宋体" w:hAnsi="宋体" w:eastAsia="宋体" w:cs="宋体"/>
          <w:sz w:val="24"/>
          <w14:ligatures w14:val="none"/>
        </w:rPr>
      </w:pPr>
      <w:r/>
      <w:bookmarkStart w:id="1" w:name="_Toc479757206"/>
      <w:r/>
      <w:bookmarkStart w:id="2" w:name="_Toc20823272"/>
      <w:r/>
      <w:bookmarkStart w:id="3" w:name="_Toc513029200"/>
      <w:r/>
      <w:bookmarkStart w:id="4" w:name="_Toc523127445"/>
      <w:r/>
      <w:bookmarkStart w:id="5" w:name="_Toc120614210"/>
      <w:r/>
      <w:bookmarkStart w:id="6" w:name="_Toc16938516"/>
      <w:r>
        <w:rPr>
          <w:rFonts w:hint="eastAsia" w:ascii="宋体" w:hAnsi="宋体" w:eastAsia="宋体" w:cs="宋体"/>
          <w:color w:val="000000"/>
          <w:sz w:val="44"/>
          <w:szCs w:val="44"/>
          <w14:ligatures w14:val="none"/>
        </w:rPr>
        <w:t xml:space="preserve">总  目  录</w:t>
      </w:r>
      <w:bookmarkEnd w:id="1"/>
      <w:r/>
      <w:bookmarkEnd w:id="2"/>
      <w:r/>
      <w:bookmarkEnd w:id="3"/>
      <w:r/>
      <w:bookmarkEnd w:id="4"/>
      <w:r/>
      <w:bookmarkEnd w:id="5"/>
      <w:r/>
      <w:bookmarkEnd w:id="6"/>
      <w:r/>
      <w:r/>
    </w:p>
    <w:p>
      <w:pPr>
        <w:ind w:firstLine="360"/>
        <w:jc w:val="both"/>
        <w:spacing w:after="0" w:line="360" w:lineRule="auto"/>
        <w:rPr>
          <w:rFonts w:hint="eastAsia" w:ascii="宋体" w:hAnsi="宋体" w:eastAsia="宋体" w:cs="宋体"/>
          <w:color w:val="000000"/>
          <w:sz w:val="36"/>
          <w:szCs w:val="36"/>
          <w14:ligatures w14:val="none"/>
        </w:rPr>
      </w:pPr>
      <w:r>
        <w:rPr>
          <w:rFonts w:hint="eastAsia" w:ascii="宋体" w:hAnsi="宋体" w:eastAsia="宋体" w:cs="宋体"/>
          <w:color w:val="000000"/>
          <w:sz w:val="36"/>
          <w:szCs w:val="36"/>
          <w14:ligatures w14:val="none"/>
        </w:rPr>
        <w:t xml:space="preserve">招标公告……………………………………3 </w:t>
      </w:r>
      <w:r/>
    </w:p>
    <w:p>
      <w:pPr>
        <w:ind w:firstLine="360"/>
        <w:jc w:val="both"/>
        <w:spacing w:after="0" w:line="360" w:lineRule="auto"/>
        <w:tabs>
          <w:tab w:val="left" w:pos="1441" w:leader="none"/>
        </w:tabs>
        <w:rPr>
          <w:rFonts w:hint="eastAsia" w:ascii="宋体" w:hAnsi="宋体" w:eastAsia="宋体" w:cs="宋体"/>
          <w:color w:val="000000"/>
          <w:sz w:val="36"/>
          <w:szCs w:val="36"/>
          <w14:ligatures w14:val="none"/>
        </w:rPr>
      </w:pPr>
      <w:r>
        <w:rPr>
          <w:rFonts w:hint="eastAsia" w:ascii="宋体" w:hAnsi="宋体" w:eastAsia="宋体" w:cs="宋体"/>
          <w:color w:val="000000"/>
          <w:sz w:val="36"/>
          <w:szCs w:val="36"/>
          <w14:ligatures w14:val="none"/>
        </w:rPr>
        <w:t xml:space="preserve">投标人须知…………………………………6 </w:t>
      </w:r>
      <w:r/>
    </w:p>
    <w:p>
      <w:pPr>
        <w:ind w:firstLine="360"/>
        <w:jc w:val="both"/>
        <w:spacing w:after="0" w:line="360" w:lineRule="auto"/>
        <w:tabs>
          <w:tab w:val="left" w:pos="1441" w:leader="none"/>
        </w:tabs>
        <w:rPr>
          <w:rFonts w:hint="eastAsia" w:ascii="宋体" w:hAnsi="宋体" w:eastAsia="宋体" w:cs="宋体"/>
          <w:color w:val="000000"/>
          <w:sz w:val="36"/>
          <w:szCs w:val="36"/>
          <w14:ligatures w14:val="none"/>
        </w:rPr>
      </w:pPr>
      <w:r>
        <w:rPr>
          <w:rFonts w:hint="eastAsia" w:ascii="宋体" w:hAnsi="宋体" w:eastAsia="宋体" w:cs="宋体"/>
          <w:color w:val="000000"/>
          <w:sz w:val="36"/>
          <w:szCs w:val="36"/>
          <w14:ligatures w14:val="none"/>
        </w:rPr>
        <w:t xml:space="preserve">合同文本……………………………………18</w:t>
      </w:r>
      <w:r/>
    </w:p>
    <w:p>
      <w:pPr>
        <w:ind w:firstLine="360"/>
        <w:jc w:val="both"/>
        <w:spacing w:after="0" w:line="360" w:lineRule="auto"/>
        <w:tabs>
          <w:tab w:val="left" w:pos="1441" w:leader="none"/>
        </w:tabs>
        <w:rPr>
          <w:rFonts w:hint="eastAsia" w:ascii="宋体" w:hAnsi="宋体" w:eastAsia="宋体" w:cs="宋体"/>
          <w:color w:val="000000"/>
          <w:sz w:val="36"/>
          <w:szCs w:val="36"/>
          <w14:ligatures w14:val="none"/>
        </w:rPr>
      </w:pPr>
      <w:r>
        <w:rPr>
          <w:rFonts w:hint="eastAsia" w:ascii="宋体" w:hAnsi="宋体" w:eastAsia="宋体" w:cs="宋体"/>
          <w:color w:val="000000"/>
          <w:sz w:val="36"/>
          <w:szCs w:val="36"/>
          <w14:ligatures w14:val="none"/>
        </w:rPr>
        <w:t xml:space="preserve">采购需求……………………………………23</w:t>
      </w:r>
      <w:r/>
    </w:p>
    <w:p>
      <w:pPr>
        <w:ind w:firstLine="360"/>
        <w:jc w:val="both"/>
        <w:spacing w:after="0" w:line="360" w:lineRule="auto"/>
        <w:tabs>
          <w:tab w:val="left" w:pos="1441" w:leader="none"/>
        </w:tabs>
        <w:rPr>
          <w:rFonts w:hint="eastAsia" w:ascii="宋体" w:hAnsi="宋体" w:eastAsia="宋体" w:cs="宋体"/>
          <w:color w:val="000000"/>
          <w:sz w:val="36"/>
          <w:szCs w:val="36"/>
          <w14:ligatures w14:val="none"/>
        </w:rPr>
      </w:pPr>
      <w:r>
        <w:rPr>
          <w:rFonts w:hint="eastAsia" w:ascii="宋体" w:hAnsi="宋体" w:eastAsia="宋体" w:cs="宋体"/>
          <w:color w:val="000000"/>
          <w:sz w:val="36"/>
          <w:szCs w:val="36"/>
          <w14:ligatures w14:val="none"/>
        </w:rPr>
        <w:t xml:space="preserve">评标方法与评标标准………………………44</w:t>
      </w:r>
      <w:r/>
    </w:p>
    <w:p>
      <w:pPr>
        <w:ind w:firstLine="360"/>
        <w:jc w:val="both"/>
        <w:spacing w:after="0" w:line="360" w:lineRule="auto"/>
        <w:tabs>
          <w:tab w:val="left" w:pos="1441" w:leader="none"/>
        </w:tabs>
        <w:rPr>
          <w:rFonts w:hint="eastAsia" w:ascii="宋体" w:hAnsi="宋体" w:eastAsia="宋体" w:cs="宋体"/>
          <w:color w:val="000000"/>
          <w:sz w:val="36"/>
          <w:szCs w:val="36"/>
          <w14:ligatures w14:val="none"/>
        </w:rPr>
      </w:pPr>
      <w:r>
        <w:rPr>
          <w:rFonts w:hint="eastAsia" w:ascii="宋体" w:hAnsi="宋体" w:eastAsia="宋体" w:cs="宋体"/>
          <w:color w:val="000000"/>
          <w:sz w:val="36"/>
          <w:szCs w:val="36"/>
          <w14:ligatures w14:val="none"/>
        </w:rPr>
        <w:t xml:space="preserve">投标文件格式………………………………47</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rPr>
          <w:rFonts w:hint="eastAsia" w:ascii="宋体" w:hAnsi="宋体" w:eastAsia="宋体" w:cs="宋体"/>
          <w:sz w:val="24"/>
          <w14:ligatures w14:val="none"/>
        </w:rPr>
      </w:pPr>
      <w:r>
        <w:rPr>
          <w:rFonts w:hint="eastAsia" w:ascii="宋体" w:hAnsi="宋体" w:eastAsia="宋体" w:cs="宋体"/>
          <w:sz w:val="24"/>
          <w14:ligatures w14:val="none"/>
        </w:rPr>
        <w:br w:type="page" w:clear="all"/>
      </w:r>
      <w:r/>
    </w:p>
    <w:p>
      <w:pPr>
        <w:jc w:val="both"/>
        <w:spacing w:after="0" w:line="240" w:lineRule="auto"/>
        <w:rPr>
          <w:rFonts w:hint="eastAsia" w:ascii="宋体" w:hAnsi="宋体" w:eastAsia="宋体" w:cs="宋体"/>
          <w:color w:val="000000"/>
          <w:sz w:val="40"/>
          <w:szCs w:val="44"/>
          <w14:ligatures w14:val="none"/>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bookmarkStart w:id="7" w:name="_Toc21236"/>
      <w:r/>
      <w:bookmarkStart w:id="8" w:name="_Toc28359086"/>
      <w:r/>
      <w:r/>
    </w:p>
    <w:p>
      <w:pPr>
        <w:ind w:firstLine="201"/>
        <w:jc w:val="center"/>
        <w:keepNext/>
        <w:spacing w:after="0" w:line="360" w:lineRule="auto"/>
        <w:rPr>
          <w:rFonts w:hint="eastAsia" w:ascii="宋体" w:hAnsi="宋体" w:eastAsia="宋体" w:cs="宋体"/>
          <w:b/>
          <w:bCs/>
          <w:sz w:val="44"/>
          <w:szCs w:val="44"/>
          <w14:ligatures w14:val="none"/>
        </w:rPr>
        <w:outlineLvl w:val="0"/>
      </w:pPr>
      <w:r>
        <w:rPr>
          <w:rFonts w:hint="eastAsia" w:ascii="宋体" w:hAnsi="宋体" w:eastAsia="宋体" w:cs="宋体"/>
          <w:b/>
          <w:bCs/>
          <w:color w:val="000000"/>
          <w:sz w:val="44"/>
          <w:szCs w:val="44"/>
          <w14:ligatures w14:val="none"/>
        </w:rPr>
        <w:t xml:space="preserve">第一章 招标公告</w:t>
      </w:r>
      <w:bookmarkEnd w:id="7"/>
      <w:r/>
      <w:r/>
    </w:p>
    <w:p>
      <w:pPr>
        <w:jc w:val="both"/>
        <w:spacing w:after="0" w:line="360" w:lineRule="auto"/>
        <w:rPr>
          <w:rFonts w:hint="eastAsia" w:ascii="宋体" w:hAnsi="宋体" w:eastAsia="宋体" w:cs="宋体"/>
          <w:sz w:val="24"/>
          <w:szCs w:val="28"/>
          <w14:ligatures w14: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8"/>
          <w14:ligatures w14:val="none"/>
        </w:rPr>
        <w:t xml:space="preserve">项目概况</w:t>
      </w:r>
      <w:r/>
    </w:p>
    <w:p>
      <w:pPr>
        <w:ind w:firstLine="480"/>
        <w:jc w:val="both"/>
        <w:spacing w:after="0" w:line="360" w:lineRule="auto"/>
        <w:rPr>
          <w:rFonts w:hint="eastAsia" w:ascii="宋体" w:hAnsi="宋体" w:eastAsia="宋体" w:cs="宋体"/>
          <w:sz w:val="24"/>
          <w:szCs w:val="28"/>
          <w14:ligatures w14: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8"/>
          <w:u w:val="single"/>
          <w14:ligatures w14:val="none"/>
        </w:rPr>
        <w:t xml:space="preserve">响水县初中理化生实验操作标准化考场实验教学、考评设备及考试保障服务等项目</w:t>
      </w:r>
      <w:r>
        <w:rPr>
          <w:rFonts w:hint="eastAsia" w:ascii="宋体" w:hAnsi="宋体" w:eastAsia="宋体" w:cs="宋体"/>
          <w:color w:val="000000"/>
          <w:sz w:val="24"/>
          <w:szCs w:val="28"/>
          <w14:ligatures w14:val="none"/>
        </w:rPr>
        <w:t xml:space="preserve">招招标项目的潜在投标人应在“苏采云”系统内免费下载（投标人必须在苏采云系统中获取采购文件，方能参与政府采购项目）获取招标文件，并于</w:t>
      </w:r>
      <w:r>
        <w:rPr>
          <w:rFonts w:hint="eastAsia" w:ascii="宋体" w:hAnsi="宋体" w:eastAsia="宋体" w:cs="宋体"/>
          <w:b/>
          <w:bCs/>
          <w:color w:val="000000"/>
          <w:sz w:val="24"/>
          <w:szCs w:val="28"/>
          <w14:ligatures w14:val="none"/>
        </w:rPr>
        <w:t xml:space="preserve">202</w:t>
      </w:r>
      <w:r>
        <w:rPr>
          <w:rFonts w:hint="eastAsia" w:ascii="宋体" w:hAnsi="宋体" w:eastAsia="宋体" w:cs="宋体"/>
          <w:b/>
          <w:bCs/>
          <w:color w:val="000000"/>
          <w:sz w:val="24"/>
          <w:szCs w:val="28"/>
          <w:lang w:val="en-US" w:eastAsia="zh-CN"/>
          <w14:ligatures w14:val="none"/>
        </w:rPr>
        <w:t xml:space="preserve">6</w:t>
      </w:r>
      <w:r>
        <w:rPr>
          <w:rFonts w:hint="eastAsia" w:ascii="宋体" w:hAnsi="宋体" w:eastAsia="宋体" w:cs="宋体"/>
          <w:b/>
          <w:bCs/>
          <w:color w:val="000000"/>
          <w:sz w:val="24"/>
          <w:szCs w:val="28"/>
          <w14:ligatures w14:val="none"/>
        </w:rPr>
        <w:t xml:space="preserve">年</w:t>
      </w:r>
      <w:r>
        <w:rPr>
          <w:rFonts w:hint="eastAsia" w:ascii="宋体" w:hAnsi="宋体" w:eastAsia="宋体" w:cs="宋体"/>
          <w:b/>
          <w:bCs/>
          <w:color w:val="000000"/>
          <w:sz w:val="24"/>
          <w:szCs w:val="28"/>
          <w:lang w:val="en-US" w:eastAsia="zh-CN"/>
          <w14:ligatures w14:val="none"/>
        </w:rPr>
        <w:t xml:space="preserve">01</w:t>
      </w:r>
      <w:r>
        <w:rPr>
          <w:rFonts w:hint="eastAsia" w:ascii="宋体" w:hAnsi="宋体" w:eastAsia="宋体" w:cs="宋体"/>
          <w:b/>
          <w:bCs/>
          <w:color w:val="000000"/>
          <w:sz w:val="24"/>
          <w:szCs w:val="28"/>
          <w14:ligatures w14:val="none"/>
        </w:rPr>
        <w:t xml:space="preserve">月</w:t>
      </w:r>
      <w:r>
        <w:rPr>
          <w:rFonts w:hint="eastAsia" w:ascii="宋体" w:hAnsi="宋体" w:eastAsia="宋体" w:cs="宋体"/>
          <w:b/>
          <w:bCs/>
          <w:color w:val="000000"/>
          <w:sz w:val="24"/>
          <w:szCs w:val="28"/>
          <w:lang w:val="en-US" w:eastAsia="zh-CN"/>
          <w14:ligatures w14:val="none"/>
        </w:rPr>
        <w:t xml:space="preserve">21</w:t>
      </w:r>
      <w:r>
        <w:rPr>
          <w:rFonts w:hint="eastAsia" w:ascii="宋体" w:hAnsi="宋体" w:eastAsia="宋体" w:cs="宋体"/>
          <w:b/>
          <w:bCs/>
          <w:color w:val="000000"/>
          <w:sz w:val="24"/>
          <w:szCs w:val="28"/>
          <w14:ligatures w14:val="none"/>
        </w:rPr>
        <w:t xml:space="preserve">日09点00分（北京时间）</w:t>
      </w:r>
      <w:r>
        <w:rPr>
          <w:rFonts w:hint="eastAsia" w:ascii="宋体" w:hAnsi="宋体" w:eastAsia="宋体" w:cs="宋体"/>
          <w:color w:val="000000"/>
          <w:sz w:val="24"/>
          <w:szCs w:val="28"/>
          <w14:ligatures w14:val="none"/>
        </w:rPr>
        <w:t xml:space="preserve">前递交投标文件</w:t>
      </w:r>
      <w:r>
        <w:rPr>
          <w:rFonts w:hint="eastAsia" w:ascii="宋体" w:hAnsi="宋体" w:cs="宋体"/>
          <w:sz w:val="24"/>
        </w:rPr>
        <w:t xml:space="preserve">。</w:t>
      </w:r>
      <w:r/>
    </w:p>
    <w:p>
      <w:pPr>
        <w:jc w:val="both"/>
        <w:keepLines/>
        <w:keepNext/>
        <w:spacing w:after="0" w:line="360" w:lineRule="auto"/>
        <w:rPr>
          <w:rFonts w:hint="eastAsia" w:ascii="宋体" w:hAnsi="宋体" w:eastAsia="宋体" w:cs="宋体"/>
          <w:sz w:val="24"/>
          <w14:ligatures w14:val="none"/>
        </w:rPr>
        <w:outlineLvl w:val="1"/>
      </w:pPr>
      <w:r/>
      <w:bookmarkStart w:id="9" w:name="_Toc28359079"/>
      <w:r/>
      <w:bookmarkStart w:id="10" w:name="_Toc38985263"/>
      <w:r/>
      <w:bookmarkStart w:id="11" w:name="_Toc35393621"/>
      <w:r/>
      <w:bookmarkStart w:id="12" w:name="_Toc12790"/>
      <w:r/>
      <w:bookmarkStart w:id="13" w:name="_Hlk24379207"/>
      <w:r/>
      <w:bookmarkStart w:id="14" w:name="_Toc35393790"/>
      <w:r/>
      <w:bookmarkStart w:id="15" w:name="_Toc28359002"/>
      <w:r>
        <w:rPr>
          <w:rFonts w:hint="eastAsia" w:ascii="宋体" w:hAnsi="宋体" w:eastAsia="宋体" w:cs="宋体"/>
          <w:b/>
          <w:color w:val="000000"/>
          <w:sz w:val="24"/>
          <w14:ligatures w14:val="none"/>
        </w:rPr>
        <w:t xml:space="preserve">一、项目基本情况</w:t>
      </w:r>
      <w:bookmarkEnd w:id="9"/>
      <w:r/>
      <w:bookmarkEnd w:id="10"/>
      <w:r/>
      <w:bookmarkEnd w:id="11"/>
      <w:r/>
      <w:bookmarkEnd w:id="12"/>
      <w:r/>
      <w:bookmarkEnd w:id="13"/>
      <w:r/>
      <w:bookmarkEnd w:id="14"/>
      <w:r/>
      <w:bookmarkEnd w:id="15"/>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1.项目编号：JSZC-320921-JZCG-G2025-0013；</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2.项目名称：响水县初中理化生实验操作标准化考场实验教学、考评设备及考试保障服务等项目；</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3.采购方式：公开招标；</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4.预算金额：9266882.00元；</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5.最高限价：9266882.00元；</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6.采购需求：本项目为响水县初中理化生实验操作标准化考场实验教学、考评设备及考试保障服务项目，其中采购设备包含：</w:t>
      </w:r>
      <w:r/>
    </w:p>
    <w:tbl>
      <w:tblPr>
        <w:tblStyle w:val="79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87"/>
        <w:gridCol w:w="2237"/>
        <w:gridCol w:w="680"/>
        <w:gridCol w:w="970"/>
        <w:gridCol w:w="902"/>
        <w:gridCol w:w="1077"/>
        <w:gridCol w:w="912"/>
        <w:gridCol w:w="1054"/>
      </w:tblGrid>
      <w:tr>
        <w:trPr>
          <w:trHeight w:val="454"/>
          <w:tblHeader/>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响水县</w:t>
            </w:r>
            <w:r>
              <w:rPr>
                <w:rFonts w:hint="eastAsia" w:ascii="宋体" w:hAnsi="宋体" w:eastAsia="宋体" w:cs="宋体"/>
                <w:b/>
                <w:bCs/>
                <w:color w:val="000000"/>
                <w:sz w:val="21"/>
                <w:szCs w:val="21"/>
                <w:lang w:bidi="ar"/>
              </w:rPr>
              <w:br/>
            </w:r>
            <w:r>
              <w:rPr>
                <w:rFonts w:hint="eastAsia" w:ascii="宋体" w:hAnsi="宋体" w:eastAsia="宋体" w:cs="宋体"/>
                <w:b/>
                <w:bCs/>
                <w:color w:val="000000"/>
                <w:sz w:val="21"/>
                <w:szCs w:val="21"/>
                <w:lang w:bidi="ar"/>
              </w:rPr>
              <w:t xml:space="preserve">实验初级中学</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响水县</w:t>
            </w:r>
            <w:r>
              <w:rPr>
                <w:rFonts w:hint="eastAsia" w:ascii="宋体" w:hAnsi="宋体" w:eastAsia="宋体" w:cs="宋体"/>
                <w:b/>
                <w:bCs/>
                <w:color w:val="000000"/>
                <w:sz w:val="21"/>
                <w:szCs w:val="21"/>
                <w:lang w:bidi="ar"/>
              </w:rPr>
              <w:br/>
            </w:r>
            <w:r>
              <w:rPr>
                <w:rFonts w:hint="eastAsia" w:ascii="宋体" w:hAnsi="宋体" w:eastAsia="宋体" w:cs="宋体"/>
                <w:b/>
                <w:bCs/>
                <w:color w:val="000000"/>
                <w:sz w:val="21"/>
                <w:szCs w:val="21"/>
                <w:lang w:bidi="ar"/>
              </w:rPr>
              <w:t xml:space="preserve">向阳中学</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响水县</w:t>
            </w:r>
            <w:r>
              <w:rPr>
                <w:rFonts w:hint="eastAsia" w:ascii="宋体" w:hAnsi="宋体" w:eastAsia="宋体" w:cs="宋体"/>
                <w:b/>
                <w:bCs/>
                <w:color w:val="000000"/>
                <w:sz w:val="21"/>
                <w:szCs w:val="21"/>
                <w:lang w:bidi="ar"/>
              </w:rPr>
              <w:br/>
            </w:r>
            <w:r>
              <w:rPr>
                <w:rFonts w:hint="eastAsia" w:ascii="宋体" w:hAnsi="宋体" w:eastAsia="宋体" w:cs="宋体"/>
                <w:b/>
                <w:bCs/>
                <w:color w:val="000000"/>
                <w:sz w:val="21"/>
                <w:szCs w:val="21"/>
                <w:lang w:eastAsia="zh-CN" w:bidi="ar"/>
              </w:rPr>
              <w:t xml:space="preserve">珠江路实验学校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县级管理中心</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数量合计</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便携式学生实验考评终端</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499</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显微镜</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178</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电子目镜</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178</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多功能实验讲台</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智慧实验升降桌</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接入交换机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汇聚交换（校级）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汇聚交换（县级）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校级数据中心</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县级数据中心</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实验教学课堂管理软件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实验考试学生端软件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499</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实验操作考场管理软件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AI智能赋分系统</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考点管理软件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视频与流媒体管理平台软件（校级）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实验教学管理平台</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考场考试技术服务</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数据管理中心软件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实验统考管理平台软件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抽签软件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视频与流媒体管理平台软件（县级）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实验教学资源库</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实验操作考试专网建设</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设备集成及考试保障服务等</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智能视频存储</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36</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硬盘</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144</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桌垫</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499</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移动教考管理终端</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固定教考管理终端</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固态移动硬盘</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服务器机柜（含PDU插座）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高拍仪</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标签机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管理中心强弱电线材及安装</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间</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玻璃隔断</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间</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实验室文化布置</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间</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管理中心文化布置</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间</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教育局管理中心其他</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间</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珠江路实验室布线改造及实验器材等</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向阳中学原化学吊装实验室电路改造</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bl>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具体采购范围及所应达到的具体要求，以本招标文件中项目需求的相应规定为准。</w:t>
      </w:r>
      <w:r/>
    </w:p>
    <w:p>
      <w:pPr>
        <w:spacing w:after="0" w:line="360" w:lineRule="auto"/>
        <w:widowControl/>
        <w:rPr>
          <w:rFonts w:hint="eastAsia" w:ascii="宋体" w:hAnsi="宋体" w:eastAsia="宋体" w:cs="宋体"/>
          <w:sz w:val="24"/>
          <w:szCs w:val="22"/>
          <w14:ligatures w14:val="none"/>
        </w:rPr>
      </w:pPr>
      <w:r>
        <w:rPr>
          <w:rFonts w:hint="eastAsia" w:ascii="宋体" w:hAnsi="宋体" w:eastAsia="宋体" w:cs="宋体"/>
          <w:sz w:val="24"/>
          <w:szCs w:val="22"/>
          <w14:ligatures w14:val="none"/>
        </w:rPr>
        <w:t xml:space="preserve">7.本项目不组织现场实地勘察，有意向的投标单位可自行组织实地踏勘。</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8.合同履行期限：</w:t>
      </w:r>
      <w:r>
        <w:rPr>
          <w:rFonts w:hint="eastAsia" w:ascii="宋体" w:hAnsi="宋体" w:eastAsia="宋体" w:cs="宋体"/>
          <w:sz w:val="24"/>
          <w14:ligatures w14:val="none"/>
        </w:rPr>
        <w:t xml:space="preserve">中标后与采购方签订合同，合同签订后60个工作日内供货到采购人指定地点并安装调试到位，经采购人验收合格。</w:t>
      </w:r>
      <w:r/>
    </w:p>
    <w:p>
      <w:pPr>
        <w:jc w:val="both"/>
        <w:spacing w:after="0" w:line="360" w:lineRule="auto"/>
        <w:rPr>
          <w:rFonts w:hint="eastAsia" w:ascii="宋体" w:hAnsi="宋体" w:eastAsia="宋体" w:cs="宋体"/>
          <w:color w:val="000000"/>
          <w:sz w:val="24"/>
          <w14:ligatures w14:val="none"/>
        </w:rPr>
      </w:pPr>
      <w:r/>
      <w:bookmarkStart w:id="16" w:name="_Toc1193"/>
      <w:r>
        <w:rPr>
          <w:rFonts w:hint="eastAsia" w:ascii="宋体" w:hAnsi="宋体" w:eastAsia="宋体" w:cs="宋体"/>
          <w:color w:val="000000"/>
          <w:sz w:val="24"/>
          <w14:ligatures w14:val="none"/>
        </w:rPr>
        <w:t xml:space="preserve">9.本项目（是/否）接受联合体参与招标：否。</w:t>
      </w:r>
      <w:bookmarkEnd w:id="16"/>
      <w:r/>
      <w:r/>
    </w:p>
    <w:p>
      <w:pPr>
        <w:jc w:val="both"/>
        <w:keepLines/>
        <w:keepNext/>
        <w:spacing w:after="0" w:line="360" w:lineRule="auto"/>
        <w:rPr>
          <w:rFonts w:hint="eastAsia" w:ascii="宋体" w:hAnsi="宋体" w:eastAsia="宋体" w:cs="宋体"/>
          <w:sz w:val="24"/>
          <w14:ligatures w14:val="none"/>
        </w:rPr>
        <w:outlineLvl w:val="1"/>
      </w:pPr>
      <w:r/>
      <w:bookmarkStart w:id="17" w:name="_Toc14231"/>
      <w:r/>
      <w:bookmarkStart w:id="18" w:name="_Toc28359003"/>
      <w:r/>
      <w:bookmarkStart w:id="19" w:name="_Toc35393791"/>
      <w:r/>
      <w:bookmarkStart w:id="20" w:name="_Toc38985264"/>
      <w:r/>
      <w:bookmarkStart w:id="21" w:name="_Toc35393622"/>
      <w:r/>
      <w:bookmarkStart w:id="22" w:name="_Toc28359080"/>
      <w:r>
        <w:rPr>
          <w:rFonts w:hint="eastAsia" w:ascii="宋体" w:hAnsi="宋体" w:eastAsia="宋体" w:cs="宋体"/>
          <w:b/>
          <w:color w:val="000000"/>
          <w:sz w:val="24"/>
          <w14:ligatures w14:val="none"/>
        </w:rPr>
        <w:t xml:space="preserve">二、申请人的资格要求：</w:t>
      </w:r>
      <w:bookmarkEnd w:id="17"/>
      <w:r/>
      <w:bookmarkEnd w:id="18"/>
      <w:r/>
      <w:bookmarkEnd w:id="19"/>
      <w:r/>
      <w:bookmarkEnd w:id="20"/>
      <w:r/>
      <w:bookmarkEnd w:id="21"/>
      <w:r/>
      <w:bookmarkEnd w:id="22"/>
      <w:r/>
      <w:r/>
    </w:p>
    <w:p>
      <w:pPr>
        <w:jc w:val="both"/>
        <w:spacing w:after="0" w:line="360" w:lineRule="auto"/>
        <w:rPr>
          <w:rFonts w:hint="eastAsia" w:ascii="宋体" w:hAnsi="宋体" w:eastAsia="宋体" w:cs="宋体"/>
          <w:sz w:val="24"/>
          <w14:ligatures w14:val="none"/>
        </w:rPr>
      </w:pPr>
      <w:r>
        <w:rPr>
          <w:rFonts w:hint="eastAsia" w:ascii="宋体" w:hAnsi="宋体" w:eastAsia="宋体" w:cs="宋体"/>
          <w:b/>
          <w:bCs/>
          <w:color w:val="000000"/>
          <w:sz w:val="24"/>
          <w14:ligatures w14:val="none"/>
        </w:rPr>
        <w:t xml:space="preserve">1.</w:t>
      </w:r>
      <w:r>
        <w:rPr>
          <w:rFonts w:hint="eastAsia" w:ascii="宋体" w:hAnsi="宋体" w:eastAsia="宋体" w:cs="宋体"/>
          <w:color w:val="000000"/>
          <w:sz w:val="24"/>
          <w14:ligatures w14:val="none"/>
        </w:rPr>
        <w:t xml:space="preserve">满足《中华人民共和国政府采购法》第二十二条规定，并提供下列材料：</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1.1 法人或者其他组织的营业执照等证明文件，自然人的身份证明；</w:t>
      </w:r>
      <w:r/>
    </w:p>
    <w:p>
      <w:pPr>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1.2上一年度的财务状况报告（</w:t>
      </w: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rPr>
          <w:rFonts w:hint="eastAsia" w:ascii="宋体" w:hAnsi="宋体" w:eastAsia="宋体" w:cs="宋体"/>
          <w:color w:val="000000"/>
          <w:sz w:val="24"/>
          <w14:ligatures w14:val="none"/>
        </w:rPr>
        <w:t xml:space="preserve">）；</w:t>
      </w:r>
      <w:r/>
    </w:p>
    <w:p>
      <w:pPr>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1.4具备履行合同所必需的设备和专业技术能力的书面声明；</w:t>
      </w:r>
      <w:r/>
    </w:p>
    <w:p>
      <w:pPr>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1.5参加政府采购活动前3年内在经营活动中没有重大违法记录的书面声明。</w:t>
      </w:r>
      <w:r/>
    </w:p>
    <w:p>
      <w:pPr>
        <w:jc w:val="both"/>
        <w:spacing w:after="0" w:line="360" w:lineRule="auto"/>
        <w:rPr>
          <w:rFonts w:hint="eastAsia" w:ascii="宋体" w:hAnsi="宋体" w:eastAsia="宋体" w:cs="宋体"/>
          <w:color w:val="000000"/>
          <w:sz w:val="24"/>
          <w14:ligatures w14:val="none"/>
        </w:rPr>
      </w:pPr>
      <w:r/>
      <w:bookmarkStart w:id="23" w:name="_Toc28459"/>
      <w:r>
        <w:rPr>
          <w:rFonts w:hint="eastAsia" w:ascii="宋体" w:hAnsi="宋体" w:eastAsia="宋体" w:cs="宋体"/>
          <w:color w:val="000000"/>
          <w:sz w:val="24"/>
          <w14:ligatures w14:val="none"/>
        </w:rPr>
        <w:t xml:space="preserve">1.6法律、行政法规规定的其他条件。</w:t>
      </w:r>
      <w:bookmarkEnd w:id="23"/>
      <w:r/>
      <w:r/>
    </w:p>
    <w:p>
      <w:pPr>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1.8单位负责人为同一人或者存在直接控股、管理关系的不同供应商，不得参加同一合同项下的政府采购活动。</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b/>
          <w:bCs/>
          <w:color w:val="000000"/>
          <w:sz w:val="24"/>
          <w14:ligatures w14:val="none"/>
        </w:rPr>
        <w:t xml:space="preserve">2.</w:t>
      </w:r>
      <w:r>
        <w:rPr>
          <w:rFonts w:hint="eastAsia" w:ascii="宋体" w:hAnsi="宋体" w:eastAsia="宋体" w:cs="宋体"/>
          <w:color w:val="000000"/>
          <w:sz w:val="24"/>
          <w14:ligatures w14:val="none"/>
        </w:rPr>
        <w:t xml:space="preserve">落实政府采购政策需满足的资格要求：本项目为非预留份额的采购项目或采购包，执行价格扣除优惠政策，给予小微型企业、监狱企业或残疾人福利性单位报价的20%扣除，用扣除后的价格参加评审。价格扣除比例对小型企业和微型企业同等对待，不作区分。监狱企业、残疾人福利单位属于小型、微型企业的，不重复享受政策。 </w:t>
      </w:r>
      <w:r/>
    </w:p>
    <w:p>
      <w:pPr>
        <w:jc w:val="both"/>
        <w:spacing w:after="0" w:line="360" w:lineRule="auto"/>
        <w:shd w:val="clear" w:color="auto" w:fill="ffffff"/>
        <w:widowControl/>
        <w:rPr>
          <w:rFonts w:hint="eastAsia" w:ascii="宋体" w:hAnsi="宋体" w:eastAsia="宋体" w:cs="宋体"/>
          <w:color w:val="333333"/>
          <w:sz w:val="24"/>
          <w14:ligatures w14:val="none"/>
        </w:rPr>
      </w:pPr>
      <w:r>
        <w:rPr>
          <w:rFonts w:hint="eastAsia" w:ascii="宋体" w:hAnsi="宋体" w:eastAsia="宋体" w:cs="宋体"/>
          <w:b/>
          <w:bCs/>
          <w:color w:val="000000"/>
          <w:sz w:val="24"/>
          <w14:ligatures w14:val="none"/>
        </w:rPr>
        <w:t xml:space="preserve">3.</w:t>
      </w:r>
      <w:r>
        <w:rPr>
          <w:rFonts w:hint="eastAsia" w:ascii="宋体" w:hAnsi="宋体" w:eastAsia="宋体" w:cs="宋体"/>
          <w:color w:val="000000"/>
          <w:sz w:val="24"/>
          <w14:ligatures w14:val="none"/>
        </w:rPr>
        <w:t xml:space="preserve">本项目的特定资格要求：</w:t>
      </w:r>
      <w:r>
        <w:rPr>
          <w:rFonts w:hint="eastAsia" w:ascii="宋体" w:hAnsi="宋体" w:eastAsia="宋体" w:cs="宋体"/>
          <w:color w:val="333333"/>
          <w:sz w:val="24"/>
          <w:shd w:val="clear" w:color="auto" w:fill="ffffff"/>
          <w14:ligatures w14:val="none"/>
        </w:rPr>
        <w:t xml:space="preserve">无。</w:t>
      </w:r>
      <w:r/>
    </w:p>
    <w:p>
      <w:pPr>
        <w:jc w:val="both"/>
        <w:keepLines/>
        <w:keepNext/>
        <w:spacing w:after="0" w:line="360" w:lineRule="auto"/>
        <w:rPr>
          <w:rFonts w:hint="eastAsia" w:ascii="宋体" w:hAnsi="宋体" w:eastAsia="宋体" w:cs="宋体"/>
          <w:sz w:val="24"/>
          <w14:ligatures w14:val="none"/>
        </w:rPr>
        <w:outlineLvl w:val="1"/>
      </w:pPr>
      <w:r/>
      <w:bookmarkStart w:id="24" w:name="_Toc8961"/>
      <w:r>
        <w:rPr>
          <w:rFonts w:hint="eastAsia" w:ascii="宋体" w:hAnsi="宋体" w:eastAsia="宋体" w:cs="宋体"/>
          <w:b/>
          <w:color w:val="000000"/>
          <w:sz w:val="24"/>
          <w14:ligatures w14:val="none"/>
        </w:rPr>
        <w:t xml:space="preserve">三、获取招标文件</w:t>
      </w:r>
      <w:bookmarkEnd w:id="24"/>
      <w:r/>
      <w:r/>
    </w:p>
    <w:p>
      <w:pPr>
        <w:jc w:val="both"/>
        <w:spacing w:after="0" w:line="360" w:lineRule="auto"/>
        <w:rPr>
          <w:rFonts w:hint="eastAsia" w:ascii="宋体" w:hAnsi="宋体" w:eastAsia="宋体" w:cs="宋体"/>
          <w:color w:val="000000"/>
          <w:sz w:val="24"/>
          <w14:ligatures w14:val="none"/>
        </w:rPr>
      </w:pPr>
      <w:r/>
      <w:bookmarkStart w:id="25" w:name="_Toc28359082"/>
      <w:r/>
      <w:bookmarkStart w:id="26" w:name="_Toc38985266"/>
      <w:r/>
      <w:bookmarkStart w:id="27" w:name="_Toc28359005"/>
      <w:r/>
      <w:bookmarkStart w:id="28" w:name="_Toc35393793"/>
      <w:r/>
      <w:bookmarkStart w:id="29" w:name="_Toc35393624"/>
      <w:r>
        <w:rPr>
          <w:rFonts w:hint="eastAsia" w:ascii="宋体" w:hAnsi="宋体" w:eastAsia="宋体" w:cs="宋体"/>
          <w:color w:val="000000"/>
          <w:sz w:val="24"/>
          <w14:ligatures w14:val="none"/>
        </w:rPr>
        <w:t xml:space="preserve">1.时间：</w:t>
      </w:r>
      <w:bookmarkEnd w:id="25"/>
      <w:r/>
      <w:bookmarkEnd w:id="26"/>
      <w:r/>
      <w:bookmarkEnd w:id="27"/>
      <w:r/>
      <w:bookmarkEnd w:id="28"/>
      <w:r/>
      <w:bookmarkEnd w:id="29"/>
      <w:r>
        <w:rPr>
          <w:rFonts w:hint="eastAsia" w:ascii="宋体" w:hAnsi="宋体" w:eastAsia="宋体" w:cs="宋体"/>
          <w:color w:val="000000"/>
          <w:sz w:val="24"/>
          <w14:ligatures w14:val="none"/>
        </w:rPr>
        <w:t xml:space="preserve">自招标文件公告发布之日起5个工作日  </w:t>
      </w:r>
      <w:r/>
    </w:p>
    <w:p>
      <w:pPr>
        <w:jc w:val="both"/>
        <w:spacing w:after="0" w:line="360" w:lineRule="auto"/>
        <w:rPr>
          <w:rFonts w:hint="eastAsia" w:ascii="宋体" w:hAnsi="宋体" w:eastAsia="宋体" w:cs="宋体"/>
          <w:color w:val="000000"/>
          <w:sz w:val="24"/>
          <w14:ligatures w14:val="none"/>
        </w:rPr>
      </w:pPr>
      <w:r/>
      <w:bookmarkStart w:id="30" w:name="_Toc31696"/>
      <w:r>
        <w:rPr>
          <w:rFonts w:hint="eastAsia" w:ascii="宋体" w:hAnsi="宋体" w:eastAsia="宋体" w:cs="宋体"/>
          <w:color w:val="000000"/>
          <w:sz w:val="24"/>
          <w14:ligatures w14:val="none"/>
        </w:rPr>
        <w:t xml:space="preserve">2.地点：“苏采云”系统内免费下载（投标人必须在苏采云系统中获取采购文件，方能参与政府采购项目）；</w:t>
      </w:r>
      <w:r/>
    </w:p>
    <w:p>
      <w:pPr>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3.方式：本项目采用网上注册登记方式。 </w:t>
      </w:r>
      <w:r/>
    </w:p>
    <w:p>
      <w:pPr>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4.售价：0元</w:t>
      </w:r>
      <w:r/>
    </w:p>
    <w:p>
      <w:pPr>
        <w:jc w:val="both"/>
        <w:keepLines/>
        <w:keepNext/>
        <w:spacing w:after="0" w:line="360" w:lineRule="auto"/>
        <w:rPr>
          <w:rFonts w:hint="eastAsia" w:ascii="宋体" w:hAnsi="宋体" w:eastAsia="宋体" w:cs="宋体"/>
          <w:sz w:val="24"/>
          <w14:ligatures w14:val="none"/>
        </w:rPr>
        <w:outlineLvl w:val="1"/>
      </w:pPr>
      <w:r>
        <w:rPr>
          <w:rFonts w:hint="eastAsia" w:ascii="宋体" w:hAnsi="宋体" w:eastAsia="宋体" w:cs="宋体"/>
          <w:b/>
          <w:color w:val="000000"/>
          <w:sz w:val="24"/>
          <w14:ligatures w14:val="none"/>
        </w:rPr>
        <w:t xml:space="preserve">四、提交投标文件截止时间、开标时间和地点</w:t>
      </w:r>
      <w:bookmarkEnd w:id="30"/>
      <w:r/>
      <w:r/>
    </w:p>
    <w:p>
      <w:pPr>
        <w:spacing w:after="0" w:line="360" w:lineRule="auto"/>
        <w:widowControl/>
        <w:rPr>
          <w:rFonts w:hint="eastAsia" w:ascii="宋体" w:hAnsi="宋体" w:eastAsia="宋体" w:cs="宋体"/>
          <w:b/>
          <w:bCs/>
          <w:color w:val="000000"/>
          <w:sz w:val="24"/>
          <w14:ligatures w14:val="none"/>
        </w:rPr>
      </w:pPr>
      <w:r>
        <w:rPr>
          <w:rFonts w:hint="eastAsia" w:ascii="宋体" w:hAnsi="宋体" w:eastAsia="宋体" w:cs="宋体"/>
          <w:color w:val="000000"/>
          <w:sz w:val="24"/>
          <w14:ligatures w14:val="none"/>
        </w:rPr>
        <w:t xml:space="preserve">1.时间：</w:t>
      </w:r>
      <w:r>
        <w:rPr>
          <w:rFonts w:hint="eastAsia" w:ascii="宋体" w:hAnsi="宋体" w:eastAsia="宋体" w:cs="宋体"/>
          <w:b/>
          <w:bCs/>
          <w:color w:val="000000"/>
          <w:sz w:val="24"/>
          <w14:ligatures w14:val="none"/>
        </w:rPr>
        <w:t xml:space="preserve">202</w:t>
      </w:r>
      <w:r>
        <w:rPr>
          <w:rFonts w:hint="eastAsia" w:ascii="宋体" w:hAnsi="宋体" w:eastAsia="宋体" w:cs="宋体"/>
          <w:b/>
          <w:bCs/>
          <w:color w:val="000000"/>
          <w:sz w:val="24"/>
          <w:lang w:val="en-US" w:eastAsia="zh-CN"/>
          <w14:ligatures w14:val="none"/>
        </w:rPr>
        <w:t xml:space="preserve">6</w:t>
      </w:r>
      <w:r>
        <w:rPr>
          <w:rFonts w:hint="eastAsia" w:ascii="宋体" w:hAnsi="宋体" w:eastAsia="宋体" w:cs="宋体"/>
          <w:b/>
          <w:bCs/>
          <w:color w:val="000000"/>
          <w:sz w:val="24"/>
          <w14:ligatures w14:val="none"/>
        </w:rPr>
        <w:t xml:space="preserve">年</w:t>
      </w:r>
      <w:r>
        <w:rPr>
          <w:rFonts w:hint="eastAsia" w:ascii="宋体" w:hAnsi="宋体" w:eastAsia="宋体" w:cs="宋体"/>
          <w:b/>
          <w:bCs/>
          <w:color w:val="000000"/>
          <w:sz w:val="24"/>
          <w:lang w:val="en-US" w:eastAsia="zh-CN"/>
          <w14:ligatures w14:val="none"/>
        </w:rPr>
        <w:t xml:space="preserve">01</w:t>
      </w:r>
      <w:r>
        <w:rPr>
          <w:rFonts w:hint="eastAsia" w:ascii="宋体" w:hAnsi="宋体" w:eastAsia="宋体" w:cs="宋体"/>
          <w:b/>
          <w:bCs/>
          <w:color w:val="000000"/>
          <w:sz w:val="24"/>
          <w14:ligatures w14:val="none"/>
        </w:rPr>
        <w:t xml:space="preserve">月</w:t>
      </w:r>
      <w:r>
        <w:rPr>
          <w:rFonts w:hint="eastAsia" w:ascii="宋体" w:hAnsi="宋体" w:eastAsia="宋体" w:cs="宋体"/>
          <w:b/>
          <w:bCs/>
          <w:color w:val="000000"/>
          <w:sz w:val="24"/>
          <w:lang w:val="en-US" w:eastAsia="zh-CN"/>
          <w14:ligatures w14:val="none"/>
        </w:rPr>
        <w:t xml:space="preserve">21</w:t>
      </w:r>
      <w:r>
        <w:rPr>
          <w:rFonts w:hint="eastAsia" w:ascii="宋体" w:hAnsi="宋体" w:eastAsia="宋体" w:cs="宋体"/>
          <w:b/>
          <w:bCs/>
          <w:color w:val="000000"/>
          <w:sz w:val="24"/>
          <w14:ligatures w14:val="none"/>
        </w:rPr>
        <w:t xml:space="preserve">日 09点00分（北京时间）</w:t>
      </w:r>
      <w:r/>
    </w:p>
    <w:p>
      <w:pPr>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2.地点：：“苏采云”政府采购交易系统网上开标大厅 </w:t>
      </w:r>
      <w:r/>
    </w:p>
    <w:p>
      <w:pPr>
        <w:jc w:val="both"/>
        <w:keepLines/>
        <w:keepNext/>
        <w:spacing w:after="0" w:line="360" w:lineRule="auto"/>
        <w:rPr>
          <w:rFonts w:hint="eastAsia" w:ascii="宋体" w:hAnsi="宋体" w:eastAsia="宋体" w:cs="宋体"/>
          <w:sz w:val="24"/>
          <w14:ligatures w14:val="none"/>
        </w:rPr>
        <w:outlineLvl w:val="1"/>
      </w:pPr>
      <w:r/>
      <w:bookmarkStart w:id="31" w:name="_Toc28359084"/>
      <w:r/>
      <w:bookmarkStart w:id="32" w:name="_Toc32458"/>
      <w:r/>
      <w:bookmarkStart w:id="33" w:name="_Toc28359007"/>
      <w:r/>
      <w:bookmarkStart w:id="34" w:name="_Toc38985267"/>
      <w:r/>
      <w:bookmarkStart w:id="35" w:name="_Toc35393794"/>
      <w:r/>
      <w:bookmarkStart w:id="36" w:name="_Toc35393625"/>
      <w:r>
        <w:rPr>
          <w:rFonts w:hint="eastAsia" w:ascii="宋体" w:hAnsi="宋体" w:eastAsia="宋体" w:cs="宋体"/>
          <w:b/>
          <w:color w:val="000000"/>
          <w:sz w:val="24"/>
          <w14:ligatures w14:val="none"/>
        </w:rPr>
        <w:t xml:space="preserve">五、公告期限</w:t>
      </w:r>
      <w:bookmarkEnd w:id="31"/>
      <w:r/>
      <w:bookmarkEnd w:id="32"/>
      <w:r/>
      <w:bookmarkEnd w:id="33"/>
      <w:r/>
      <w:bookmarkEnd w:id="34"/>
      <w:r/>
      <w:bookmarkEnd w:id="35"/>
      <w:r/>
      <w:bookmarkEnd w:id="36"/>
      <w:r/>
      <w:r/>
    </w:p>
    <w:p>
      <w:pPr>
        <w:spacing w:after="0" w:line="360" w:lineRule="auto"/>
        <w:widowControl/>
        <w:rPr>
          <w:rFonts w:hint="eastAsia" w:ascii="宋体" w:hAnsi="宋体" w:eastAsia="宋体" w:cs="宋体"/>
          <w:color w:val="000000"/>
          <w:sz w:val="24"/>
          <w14:ligatures w14:val="none"/>
        </w:rPr>
      </w:pPr>
      <w:r/>
      <w:bookmarkStart w:id="37" w:name="_Toc38985268"/>
      <w:r/>
      <w:bookmarkStart w:id="38" w:name="_Toc35393626"/>
      <w:r/>
      <w:bookmarkStart w:id="39" w:name="_Toc35393795"/>
      <w:r>
        <w:rPr>
          <w:rFonts w:hint="eastAsia" w:ascii="宋体" w:hAnsi="宋体" w:eastAsia="宋体" w:cs="宋体"/>
          <w:color w:val="000000"/>
          <w:sz w:val="24"/>
          <w14:ligatures w14:val="none"/>
        </w:rPr>
        <w:t xml:space="preserve">自本公告发布之日起5个工作日。</w:t>
      </w:r>
      <w:bookmarkEnd w:id="37"/>
      <w:r/>
      <w:bookmarkEnd w:id="38"/>
      <w:r/>
      <w:bookmarkEnd w:id="39"/>
      <w:r/>
      <w:r/>
    </w:p>
    <w:p>
      <w:pPr>
        <w:numPr>
          <w:ilvl w:val="0"/>
          <w:numId w:val="1"/>
        </w:numPr>
        <w:jc w:val="both"/>
        <w:keepLines/>
        <w:keepNext/>
        <w:spacing w:after="0" w:line="360" w:lineRule="auto"/>
        <w:rPr>
          <w:rFonts w:hint="eastAsia" w:ascii="宋体" w:hAnsi="宋体" w:eastAsia="宋体" w:cs="宋体"/>
          <w:b/>
          <w:color w:val="000000"/>
          <w:sz w:val="24"/>
          <w14:ligatures w14:val="none"/>
        </w:rPr>
        <w:outlineLvl w:val="1"/>
      </w:pPr>
      <w:r/>
      <w:bookmarkStart w:id="40" w:name="_Toc1152"/>
      <w:r>
        <w:rPr>
          <w:rFonts w:hint="eastAsia" w:ascii="宋体" w:hAnsi="宋体" w:eastAsia="宋体" w:cs="宋体"/>
          <w:b/>
          <w:color w:val="000000"/>
          <w:sz w:val="24"/>
          <w14:ligatures w14:val="none"/>
        </w:rPr>
        <w:t xml:space="preserve">其他补充事宜</w:t>
      </w:r>
      <w:bookmarkEnd w:id="40"/>
      <w:r/>
      <w:r/>
    </w:p>
    <w:p>
      <w:pPr>
        <w:pStyle w:val="800"/>
        <w:ind w:firstLine="480"/>
        <w:jc w:val="both"/>
        <w:spacing w:beforeAutospacing="0" w:afterAutospacing="0" w:line="360" w:lineRule="auto"/>
        <w:rPr>
          <w:rFonts w:ascii="宋体" w:hAnsi="宋体" w:eastAsia="宋体" w:cs="仿宋"/>
          <w:color w:val="000000"/>
        </w:rPr>
      </w:pPr>
      <w:r>
        <w:rPr>
          <w:rFonts w:hint="eastAsia" w:ascii="宋体" w:hAnsi="宋体" w:eastAsia="宋体" w:cs="仿宋"/>
          <w:color w:val="00000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00"/>
        <w:ind w:firstLine="480"/>
        <w:jc w:val="both"/>
        <w:spacing w:beforeAutospacing="0" w:afterAutospacing="0" w:line="360" w:lineRule="auto"/>
        <w:rPr>
          <w:rFonts w:ascii="宋体" w:hAnsi="宋体" w:eastAsia="宋体" w:cs="仿宋"/>
          <w:color w:val="000000"/>
        </w:rPr>
      </w:pPr>
      <w:r>
        <w:rPr>
          <w:rFonts w:hint="eastAsia" w:ascii="宋体" w:hAnsi="宋体" w:eastAsia="宋体" w:cs="仿宋"/>
          <w:color w:val="000000"/>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pStyle w:val="800"/>
        <w:ind w:firstLine="480"/>
        <w:jc w:val="both"/>
        <w:spacing w:beforeAutospacing="0" w:afterAutospacing="0" w:line="360" w:lineRule="auto"/>
        <w:rPr>
          <w:rFonts w:ascii="宋体" w:hAnsi="宋体" w:eastAsia="宋体" w:cs="仿宋"/>
          <w:color w:val="000000"/>
        </w:rPr>
      </w:pPr>
      <w:r>
        <w:rPr>
          <w:rFonts w:hint="eastAsia" w:ascii="宋体" w:hAnsi="宋体" w:eastAsia="宋体" w:cs="仿宋"/>
          <w:color w:val="000000"/>
        </w:rPr>
        <w:t xml:space="preserve">2. 有关本次采购的事项若存在变动或修改，敬请及时关注在“中国政府采购网”、“江苏政府采购网”、“盐城市政府采购网”发布的更正公告。</w:t>
      </w:r>
      <w:r/>
    </w:p>
    <w:p>
      <w:pPr>
        <w:pStyle w:val="800"/>
        <w:ind w:firstLine="480"/>
        <w:jc w:val="both"/>
        <w:spacing w:beforeAutospacing="0" w:afterAutospacing="0" w:line="360" w:lineRule="auto"/>
        <w:rPr>
          <w:rFonts w:ascii="宋体" w:hAnsi="宋体" w:eastAsia="宋体" w:cs="仿宋"/>
          <w:color w:val="000000"/>
        </w:rPr>
      </w:pPr>
      <w:r>
        <w:rPr>
          <w:rFonts w:hint="eastAsia" w:ascii="宋体" w:hAnsi="宋体" w:eastAsia="宋体" w:cs="仿宋"/>
          <w:color w:val="000000"/>
        </w:rPr>
        <w:t xml:space="preserve">3. 潜在供应商访问电子招标响应交易平台的网络地址和方法：</w:t>
      </w:r>
      <w:r/>
    </w:p>
    <w:p>
      <w:pPr>
        <w:pStyle w:val="800"/>
        <w:ind w:firstLine="480"/>
        <w:jc w:val="both"/>
        <w:spacing w:beforeAutospacing="0" w:afterAutospacing="0" w:line="360" w:lineRule="auto"/>
        <w:rPr>
          <w:rFonts w:ascii="宋体" w:hAnsi="宋体" w:eastAsia="宋体" w:cs="仿宋"/>
          <w:color w:val="000000"/>
        </w:rPr>
      </w:pPr>
      <w:r>
        <w:rPr>
          <w:rFonts w:hint="eastAsia" w:ascii="宋体" w:hAnsi="宋体" w:eastAsia="宋体" w:cs="仿宋"/>
          <w:color w:val="000000"/>
        </w:rPr>
        <w:t xml:space="preserve">3.1“苏采云”系统用户注册--获取“CA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800"/>
        <w:ind w:firstLine="480"/>
        <w:jc w:val="both"/>
        <w:spacing w:beforeAutospacing="0" w:afterAutospacing="0" w:line="360" w:lineRule="auto"/>
        <w:rPr>
          <w:rFonts w:ascii="宋体" w:hAnsi="宋体" w:eastAsia="宋体" w:cs="仿宋"/>
          <w:color w:val="000000"/>
        </w:rPr>
      </w:pPr>
      <w:r>
        <w:rPr>
          <w:rFonts w:hint="eastAsia" w:ascii="宋体" w:hAnsi="宋体" w:eastAsia="宋体" w:cs="仿宋"/>
          <w:color w:val="000000"/>
        </w:rPr>
        <w:t xml:space="preserve">3.2 潜在投标人访问“苏采云”系统方法：江苏省政府采购网首页-“苏采云”链接。</w:t>
      </w:r>
      <w:r/>
    </w:p>
    <w:p>
      <w:pPr>
        <w:pStyle w:val="800"/>
        <w:ind w:firstLine="480"/>
        <w:jc w:val="both"/>
        <w:spacing w:beforeAutospacing="0" w:afterAutospacing="0" w:line="360" w:lineRule="auto"/>
        <w:rPr>
          <w:rFonts w:ascii="宋体" w:hAnsi="宋体" w:eastAsia="宋体" w:cs="仿宋"/>
          <w:color w:val="000000"/>
        </w:rPr>
      </w:pPr>
      <w:r>
        <w:rPr>
          <w:rFonts w:hint="eastAsia" w:ascii="宋体" w:hAnsi="宋体" w:eastAsia="宋体" w:cs="仿宋"/>
          <w:color w:val="000000"/>
        </w:rPr>
        <w:t xml:space="preserve">3.3 采购文件（后缀名为“.kedt”）、供应商操作手册及政府采购客户端工具可通过“苏采云”系统相应链接进行下载。</w:t>
      </w:r>
      <w:r/>
    </w:p>
    <w:p>
      <w:pPr>
        <w:pStyle w:val="800"/>
        <w:ind w:firstLine="480"/>
        <w:jc w:val="both"/>
        <w:spacing w:beforeAutospacing="0" w:afterAutospacing="0" w:line="360" w:lineRule="auto"/>
        <w:rPr>
          <w:rFonts w:ascii="宋体" w:hAnsi="宋体" w:eastAsia="宋体" w:cs="仿宋"/>
          <w:color w:val="000000"/>
        </w:rPr>
      </w:pPr>
      <w:r>
        <w:rPr>
          <w:rFonts w:hint="eastAsia" w:ascii="宋体" w:hAnsi="宋体" w:eastAsia="宋体" w:cs="仿宋"/>
          <w:color w:val="000000"/>
        </w:rPr>
        <w:t xml:space="preserve">3.4 采购代理机构将数据电文形式的磋商文件加载至“苏采云”系统，供潜在供应商下载或者查阅。</w:t>
      </w:r>
      <w:r/>
    </w:p>
    <w:p>
      <w:pPr>
        <w:pStyle w:val="800"/>
        <w:ind w:firstLine="480"/>
        <w:jc w:val="both"/>
        <w:spacing w:beforeAutospacing="0" w:afterAutospacing="0" w:line="360" w:lineRule="auto"/>
        <w:rPr>
          <w:rFonts w:ascii="宋体" w:hAnsi="宋体" w:eastAsia="宋体" w:cs="仿宋"/>
          <w:color w:val="000000"/>
        </w:rPr>
      </w:pPr>
      <w:r>
        <w:rPr>
          <w:rFonts w:hint="eastAsia" w:ascii="宋体" w:hAnsi="宋体" w:eastAsia="宋体" w:cs="仿宋"/>
          <w:color w:val="000000"/>
        </w:rPr>
        <w:t xml:space="preserve">3.5 请潜在投标单位提前安装相应的控件（详见《“苏采云”系统供应商操作手册》）并使用谷歌浏览器登录“苏采云”系统参与不见面开评标。如潜在投标人未按上述要求操作，将自行承担所产生的风险。</w:t>
      </w:r>
      <w:r/>
    </w:p>
    <w:p>
      <w:pPr>
        <w:pStyle w:val="800"/>
        <w:ind w:firstLine="480"/>
        <w:jc w:val="both"/>
        <w:spacing w:beforeAutospacing="0" w:afterAutospacing="0" w:line="360" w:lineRule="auto"/>
        <w:rPr>
          <w:rFonts w:ascii="宋体" w:hAnsi="宋体" w:eastAsia="宋体" w:cs="仿宋"/>
          <w:color w:val="000000"/>
        </w:rPr>
      </w:pPr>
      <w:r>
        <w:rPr>
          <w:rFonts w:hint="eastAsia" w:ascii="宋体" w:hAnsi="宋体" w:eastAsia="宋体" w:cs="仿宋"/>
          <w:color w:val="000000"/>
        </w:rPr>
        <w:t xml:space="preserve">3.6 CA证书办理：供应商参与政府采购活动需办理江苏省电子政务证书认证中心CA证书和方正国际软件(北京)有限公司电子签章。CA证书及电子签章的办理方法详见在盐城市政府采购网点击【办事指南】-【供应商参与政府采购活动相关资料】或“苏采云”系统登录界面中的“新 CA 办理</w:t>
      </w:r>
      <w:r>
        <w:rPr>
          <w:rFonts w:hint="eastAsia" w:ascii="宋体" w:hAnsi="宋体" w:eastAsia="宋体" w:cs="仿宋"/>
          <w:color w:val="000000"/>
        </w:rPr>
        <w:t xml:space="preserve">指南”。“苏采云”系统目前仅支持“苏采云”系统下的政务 CA证书，江苏省内各地区办理的“苏采云”系统下的政务 CA证书全省通用。领取CA和办理电子签章(请至亭湖区政务服务中心二楼226窗口办理，联系电话:15051556883，办理邮箱:yancheng@ideabank.net.cn，具体联系方式见《苏采云系统供应商操作手册》( 以下简称《操作手册》)、进行注册并按《操作手册》要求制作、上传电子投标文件,《苏采云系统供应商操作手册》 在盐城市政府采购网点击【办事指南】-【供应商参与政府采购活动相关资料】。</w:t>
      </w:r>
      <w:r/>
    </w:p>
    <w:p>
      <w:pPr>
        <w:pStyle w:val="800"/>
        <w:ind w:firstLine="480"/>
        <w:jc w:val="both"/>
        <w:spacing w:beforeAutospacing="0" w:afterAutospacing="0" w:line="360" w:lineRule="auto"/>
        <w:rPr>
          <w:rFonts w:ascii="宋体" w:hAnsi="宋体" w:eastAsia="宋体" w:cs="仿宋"/>
          <w:color w:val="000000"/>
        </w:rPr>
      </w:pPr>
      <w:r>
        <w:rPr>
          <w:rFonts w:hint="eastAsia" w:ascii="宋体" w:hAnsi="宋体" w:eastAsia="宋体" w:cs="仿宋"/>
          <w:color w:val="000000"/>
        </w:rPr>
        <w:t xml:space="preserve">3.7 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00"/>
        <w:ind w:firstLine="480"/>
        <w:jc w:val="both"/>
        <w:spacing w:beforeAutospacing="0" w:afterAutospacing="0" w:line="360" w:lineRule="auto"/>
        <w:rPr>
          <w:rFonts w:ascii="宋体" w:hAnsi="宋体" w:eastAsia="宋体" w:cs="仿宋"/>
          <w:color w:val="000000"/>
        </w:rPr>
      </w:pPr>
      <w:r>
        <w:rPr>
          <w:rFonts w:hint="eastAsia" w:ascii="宋体" w:hAnsi="宋体" w:eastAsia="宋体" w:cs="仿宋"/>
          <w:color w:val="000000"/>
        </w:rPr>
        <w:t xml:space="preserve">3.8 电子投标准备：供应商在“苏采云”系统中操作成功参与项目后，必须在“已参与项目”界面中下载电子招标文件(后缀名为“.kedt”)并导入政府采购客户端工具后方可进行响应文件制作和提交(具体详见《苏采云系统供应商操作手册》，网址http://czj.yancheng.gov.cn/art/2023/9/14/art 2407 4057499.html.在系统操作过程中如有疑问，请联系:0519-86722805、0519-86722807或登录苏采云系统后，联系系统右下方智能客服图标进行咨询。</w:t>
      </w:r>
      <w:r/>
    </w:p>
    <w:p>
      <w:pPr>
        <w:pStyle w:val="800"/>
        <w:ind w:firstLine="240"/>
        <w:jc w:val="both"/>
        <w:spacing w:beforeAutospacing="0" w:afterAutospacing="0" w:line="360" w:lineRule="auto"/>
        <w:rPr>
          <w:rFonts w:ascii="宋体" w:hAnsi="宋体" w:eastAsia="宋体" w:cs="仿宋"/>
          <w:color w:val="000000"/>
        </w:rPr>
      </w:pPr>
      <w:r>
        <w:rPr>
          <w:rFonts w:hint="eastAsia" w:ascii="宋体" w:hAnsi="宋体" w:eastAsia="宋体" w:cs="仿宋"/>
          <w:color w:val="000000"/>
        </w:rPr>
        <w:t xml:space="preserve">  4.本次招标不收取投标保证金，不收取质量保证金。</w:t>
      </w:r>
      <w:r/>
    </w:p>
    <w:p>
      <w:pPr>
        <w:ind w:firstLine="480"/>
        <w:spacing w:line="440" w:lineRule="exact"/>
        <w:tabs>
          <w:tab w:val="left" w:pos="900" w:leader="none"/>
        </w:tabs>
        <w:rPr>
          <w:rFonts w:ascii="宋体" w:hAnsi="宋体" w:eastAsia="宋体" w:cs="宋体"/>
          <w:sz w:val="24"/>
        </w:rPr>
      </w:pPr>
      <w:r>
        <w:rPr>
          <w:rFonts w:hint="eastAsia" w:ascii="宋体" w:hAnsi="宋体" w:eastAsia="宋体" w:cs="宋体"/>
          <w:sz w:val="24"/>
        </w:rPr>
        <w:t xml:space="preserve">5.评审结束后，中标人需提供纸质投标文件一正四副用于归档，未中标单位不需要提供。</w:t>
      </w:r>
      <w:r/>
    </w:p>
    <w:p>
      <w:pPr>
        <w:pStyle w:val="800"/>
        <w:ind w:firstLine="480"/>
        <w:jc w:val="both"/>
        <w:spacing w:beforeAutospacing="0" w:afterAutospacing="0" w:line="360" w:lineRule="auto"/>
        <w:rPr>
          <w:rFonts w:ascii="宋体" w:hAnsi="宋体" w:eastAsia="宋体" w:cs="仿宋"/>
          <w:color w:val="000000"/>
        </w:rPr>
      </w:pPr>
      <w:r>
        <w:rPr>
          <w:rFonts w:hint="eastAsia" w:ascii="宋体" w:hAnsi="宋体" w:eastAsia="宋体" w:cs="仿宋"/>
          <w:color w:val="000000"/>
        </w:rPr>
        <w:t xml:space="preserve">6.因供应商的系统环境、操作等原因导致报名、开评标过程中出现</w:t>
      </w:r>
      <w:bookmarkStart w:id="253" w:name="_GoBack"/>
      <w:r/>
      <w:bookmarkEnd w:id="253"/>
      <w:r>
        <w:rPr>
          <w:rFonts w:hint="eastAsia" w:ascii="宋体" w:hAnsi="宋体" w:eastAsia="宋体" w:cs="仿宋"/>
          <w:color w:val="000000"/>
        </w:rPr>
        <w:t xml:space="preserve">问题由供应商自行承担负责。</w:t>
      </w:r>
      <w:r/>
    </w:p>
    <w:p>
      <w:pPr>
        <w:ind w:firstLine="482"/>
        <w:rPr>
          <w:rFonts w:hint="eastAsia"/>
          <w:b/>
          <w:bCs/>
        </w:rPr>
      </w:pPr>
      <w:r>
        <w:rPr>
          <w:rFonts w:hint="eastAsia" w:ascii="宋体" w:hAnsi="宋体" w:eastAsia="宋体" w:cs="宋体"/>
          <w:b/>
          <w:bCs/>
          <w:sz w:val="24"/>
          <w:lang w:val="en-US" w:eastAsia="zh-CN"/>
        </w:rPr>
        <w:t xml:space="preserve">7</w:t>
      </w:r>
      <w:r>
        <w:rPr>
          <w:rFonts w:hint="eastAsia" w:ascii="宋体" w:hAnsi="宋体" w:eastAsia="宋体" w:cs="宋体"/>
          <w:b/>
          <w:bCs/>
          <w:sz w:val="24"/>
        </w:rPr>
        <w:t xml:space="preserve">.</w:t>
      </w:r>
      <w:r>
        <w:rPr>
          <w:rFonts w:ascii="宋体" w:hAnsi="宋体" w:eastAsia="宋体" w:cs="宋体"/>
          <w:b/>
          <w:bCs/>
          <w:sz w:val="24"/>
        </w:rPr>
        <w:t xml:space="preserve">对本项目资格要求、采购需求、评标方法与评标标准等部分的询问、质疑 请与采购人联系，由采购人负责答复。</w:t>
      </w:r>
      <w:r/>
    </w:p>
    <w:p>
      <w:pPr>
        <w:jc w:val="both"/>
        <w:keepLines/>
        <w:keepNext/>
        <w:spacing w:after="0" w:line="360" w:lineRule="auto"/>
        <w:rPr>
          <w:rFonts w:hint="eastAsia" w:ascii="宋体" w:hAnsi="宋体" w:eastAsia="宋体" w:cs="宋体"/>
          <w:b/>
          <w:color w:val="000000"/>
          <w:sz w:val="24"/>
          <w14:ligatures w14:val="none"/>
        </w:rPr>
        <w:outlineLvl w:val="1"/>
      </w:pPr>
      <w:r/>
      <w:bookmarkStart w:id="41" w:name="_Toc232"/>
      <w:r/>
      <w:bookmarkStart w:id="42" w:name="_Toc28359018"/>
      <w:r>
        <w:rPr>
          <w:rFonts w:hint="eastAsia" w:ascii="宋体" w:hAnsi="宋体" w:eastAsia="宋体" w:cs="宋体"/>
          <w:b/>
          <w:color w:val="000000"/>
          <w:sz w:val="24"/>
          <w14:ligatures w14:val="none"/>
        </w:rPr>
        <w:t xml:space="preserve">七、对本次招标提出询问，请按以下方式联系。</w:t>
      </w:r>
      <w:bookmarkEnd w:id="41"/>
      <w:r/>
      <w:bookmarkEnd w:id="42"/>
      <w:r/>
      <w:r/>
    </w:p>
    <w:p>
      <w:pPr>
        <w:jc w:val="both"/>
        <w:spacing w:after="0" w:line="360" w:lineRule="auto"/>
        <w:shd w:val="clear" w:color="auto" w:fill="ffffff"/>
        <w:widowControl/>
        <w:rPr>
          <w:rFonts w:hint="eastAsia" w:ascii="宋体" w:hAnsi="宋体" w:eastAsia="宋体" w:cs="宋体"/>
          <w:color w:val="000000"/>
          <w:sz w:val="24"/>
          <w14:ligatures w14:val="none"/>
        </w:rPr>
      </w:pPr>
      <w:r/>
      <w:bookmarkStart w:id="43" w:name="_Toc13026"/>
      <w:r>
        <w:rPr>
          <w:rFonts w:hint="eastAsia" w:ascii="宋体" w:hAnsi="宋体" w:eastAsia="宋体" w:cs="宋体"/>
          <w:color w:val="000000"/>
          <w:sz w:val="24"/>
          <w14:ligatures w14:val="none"/>
        </w:rPr>
        <w:t xml:space="preserve">1.采购人信息</w:t>
      </w:r>
      <w:bookmarkEnd w:id="43"/>
      <w:r/>
      <w:r/>
    </w:p>
    <w:p>
      <w:pPr>
        <w:ind w:firstLine="240"/>
        <w:jc w:val="both"/>
        <w:spacing w:after="0" w:line="360" w:lineRule="auto"/>
        <w:shd w:val="clear" w:color="auto" w:fill="ffffff"/>
        <w:widowControl/>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名称：响水县教育局 </w:t>
      </w:r>
      <w:r/>
    </w:p>
    <w:p>
      <w:pPr>
        <w:ind w:firstLine="240"/>
        <w:jc w:val="both"/>
        <w:spacing w:after="0" w:line="360" w:lineRule="auto"/>
        <w:shd w:val="clear" w:color="auto" w:fill="ffffff"/>
        <w:widowControl/>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地址：响水县黄海路98号 </w:t>
      </w:r>
      <w:r/>
    </w:p>
    <w:p>
      <w:pPr>
        <w:ind w:firstLine="240"/>
        <w:jc w:val="both"/>
        <w:spacing w:after="0" w:line="360" w:lineRule="auto"/>
        <w:shd w:val="clear" w:color="auto" w:fill="ffffff"/>
        <w:widowControl/>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联系人：胡雪            </w:t>
      </w:r>
      <w:r/>
    </w:p>
    <w:p>
      <w:pPr>
        <w:ind w:firstLine="240"/>
        <w:jc w:val="both"/>
        <w:spacing w:after="0" w:line="360" w:lineRule="auto"/>
        <w:shd w:val="clear" w:color="auto" w:fill="ffffff"/>
        <w:widowControl/>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联系方式：0515-86880337          </w:t>
      </w:r>
      <w:r/>
    </w:p>
    <w:p>
      <w:pPr>
        <w:jc w:val="both"/>
        <w:spacing w:after="0" w:line="360" w:lineRule="auto"/>
        <w:shd w:val="clear" w:color="auto" w:fill="ffffff"/>
        <w:widowControl/>
        <w:rPr>
          <w:rFonts w:hint="eastAsia" w:ascii="宋体" w:hAnsi="宋体" w:eastAsia="宋体" w:cs="宋体"/>
          <w:color w:val="000000"/>
          <w:sz w:val="24"/>
          <w14:ligatures w14:val="none"/>
        </w:rPr>
      </w:pPr>
      <w:r/>
      <w:bookmarkStart w:id="44" w:name="_Toc9365"/>
      <w:r>
        <w:rPr>
          <w:rFonts w:hint="eastAsia" w:ascii="宋体" w:hAnsi="宋体" w:eastAsia="宋体" w:cs="宋体"/>
          <w:color w:val="000000"/>
          <w:sz w:val="24"/>
          <w14:ligatures w14:val="none"/>
        </w:rPr>
        <w:t xml:space="preserve">2.采购代理机构信息</w:t>
      </w:r>
      <w:bookmarkEnd w:id="44"/>
      <w:r/>
      <w:r/>
    </w:p>
    <w:p>
      <w:pPr>
        <w:ind w:firstLine="240"/>
        <w:jc w:val="both"/>
        <w:spacing w:after="0" w:line="360" w:lineRule="auto"/>
        <w:shd w:val="clear" w:color="auto" w:fill="ffffff"/>
        <w:widowControl/>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名 称：响水县公共资源交易中心（响水县政府采购中心） </w:t>
      </w:r>
      <w:r/>
    </w:p>
    <w:p>
      <w:pPr>
        <w:ind w:firstLine="240"/>
        <w:jc w:val="both"/>
        <w:spacing w:after="0" w:line="360" w:lineRule="auto"/>
        <w:shd w:val="clear" w:color="auto" w:fill="ffffff"/>
        <w:widowControl/>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地 址：响水县灌江东路1号 </w:t>
      </w:r>
      <w:r/>
    </w:p>
    <w:p>
      <w:pPr>
        <w:ind w:firstLine="240"/>
        <w:jc w:val="both"/>
        <w:spacing w:after="0" w:line="360" w:lineRule="auto"/>
        <w:shd w:val="clear" w:color="auto" w:fill="ffffff"/>
        <w:widowControl/>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联系人：周先生                    </w:t>
      </w:r>
      <w:r/>
    </w:p>
    <w:p>
      <w:pPr>
        <w:ind w:firstLine="240"/>
        <w:jc w:val="both"/>
        <w:spacing w:after="0" w:line="360" w:lineRule="auto"/>
        <w:shd w:val="clear" w:color="auto" w:fill="ffffff"/>
        <w:widowControl/>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联系方式：</w:t>
      </w:r>
      <w:bookmarkStart w:id="45" w:name="_Toc28359087"/>
      <w:r/>
      <w:bookmarkStart w:id="46" w:name="_Toc28359010"/>
      <w:r>
        <w:rPr>
          <w:rFonts w:hint="eastAsia" w:ascii="宋体" w:hAnsi="宋体" w:eastAsia="宋体" w:cs="宋体"/>
          <w:color w:val="000000"/>
          <w:sz w:val="24"/>
          <w14:ligatures w14:val="none"/>
        </w:rPr>
        <w:t xml:space="preserve">0515-86782009    </w:t>
      </w:r>
      <w:bookmarkEnd w:id="45"/>
      <w:r/>
      <w:bookmarkEnd w:id="46"/>
      <w:r>
        <w:rPr>
          <w:rFonts w:hint="eastAsia" w:ascii="宋体" w:hAnsi="宋体" w:eastAsia="宋体" w:cs="宋体"/>
          <w:color w:val="000000"/>
          <w:sz w:val="24"/>
          <w14:ligatures w14:val="none"/>
        </w:rPr>
        <w:t xml:space="preserve">            </w:t>
      </w:r>
      <w:r/>
    </w:p>
    <w:p>
      <w:pPr>
        <w:jc w:val="both"/>
        <w:spacing w:after="0" w:line="360" w:lineRule="auto"/>
        <w:shd w:val="clear" w:color="auto" w:fill="ffffff"/>
        <w:widowControl/>
        <w:rPr>
          <w:rFonts w:hint="eastAsia" w:ascii="宋体" w:hAnsi="宋体" w:eastAsia="宋体" w:cs="宋体"/>
          <w:color w:val="000000"/>
          <w:sz w:val="24"/>
          <w14:ligatures w14:val="none"/>
        </w:rPr>
      </w:pPr>
      <w:r/>
      <w:bookmarkStart w:id="47" w:name="_Toc28359021"/>
      <w:r/>
      <w:bookmarkStart w:id="48" w:name="_Toc8184"/>
      <w:r>
        <w:rPr>
          <w:rFonts w:hint="eastAsia" w:ascii="宋体" w:hAnsi="宋体" w:eastAsia="宋体" w:cs="宋体"/>
          <w:color w:val="000000"/>
          <w:sz w:val="24"/>
          <w14:ligatures w14:val="none"/>
        </w:rPr>
        <w:t xml:space="preserve">3.</w:t>
      </w:r>
      <w:bookmarkEnd w:id="47"/>
      <w:r>
        <w:rPr>
          <w:rFonts w:hint="eastAsia" w:ascii="宋体" w:hAnsi="宋体" w:eastAsia="宋体" w:cs="宋体"/>
          <w:color w:val="000000"/>
          <w:sz w:val="24"/>
          <w14:ligatures w14:val="none"/>
        </w:rPr>
        <w:t xml:space="preserve">项目联系方式</w:t>
      </w:r>
      <w:bookmarkEnd w:id="48"/>
      <w:r/>
      <w:r/>
    </w:p>
    <w:p>
      <w:pPr>
        <w:ind w:firstLine="240"/>
        <w:jc w:val="both"/>
        <w:spacing w:after="0" w:line="360" w:lineRule="auto"/>
        <w:shd w:val="clear" w:color="auto" w:fill="ffffff"/>
        <w:widowControl/>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项目联系人：周先生</w:t>
      </w:r>
      <w:r/>
    </w:p>
    <w:p>
      <w:pPr>
        <w:ind w:firstLine="240"/>
        <w:jc w:val="both"/>
        <w:spacing w:after="0" w:line="360" w:lineRule="auto"/>
        <w:shd w:val="clear" w:color="auto" w:fill="ffffff"/>
        <w:widowControl/>
        <w:rPr>
          <w:rFonts w:hint="eastAsia" w:ascii="宋体" w:hAnsi="宋体" w:eastAsia="宋体" w:cs="宋体"/>
          <w:b/>
          <w:color w:val="000000"/>
          <w:sz w:val="44"/>
          <w:szCs w:val="44"/>
          <w14:ligatures w14:val="none"/>
        </w:rPr>
      </w:pPr>
      <w:r>
        <w:rPr>
          <w:rFonts w:hint="eastAsia" w:ascii="宋体" w:hAnsi="宋体" w:eastAsia="宋体" w:cs="宋体"/>
          <w:color w:val="000000"/>
          <w:sz w:val="24"/>
          <w14:ligatures w14:val="none"/>
        </w:rPr>
        <w:t xml:space="preserve">电　话：0515-86782009   　　　　</w:t>
      </w:r>
      <w:r>
        <w:rPr>
          <w:rFonts w:hint="eastAsia" w:ascii="宋体" w:hAnsi="宋体" w:eastAsia="宋体" w:cs="宋体"/>
          <w:color w:val="333333"/>
          <w:sz w:val="24"/>
          <w:shd w:val="clear" w:color="auto" w:fill="ffffff"/>
          <w14:ligatures w14:val="none"/>
        </w:rPr>
        <w:t xml:space="preserve">　　　　</w:t>
      </w:r>
      <w:r>
        <w:rPr>
          <w:rFonts w:hint="eastAsia" w:ascii="宋体" w:hAnsi="宋体" w:eastAsia="宋体" w:cs="宋体"/>
          <w:color w:val="000000"/>
          <w:sz w:val="24"/>
          <w14:ligatures w14:val="none"/>
        </w:rPr>
        <w:br w:type="page" w:clear="all"/>
      </w:r>
      <w:bookmarkStart w:id="49" w:name="_Toc120614211"/>
      <w:r/>
      <w:r/>
    </w:p>
    <w:p>
      <w:pPr>
        <w:ind w:firstLine="201"/>
        <w:jc w:val="center"/>
        <w:keepNext/>
        <w:spacing w:after="0" w:line="360" w:lineRule="auto"/>
        <w:rPr>
          <w:rFonts w:hint="eastAsia" w:ascii="宋体" w:hAnsi="宋体" w:eastAsia="宋体" w:cs="宋体"/>
          <w:b/>
          <w:bCs/>
          <w:color w:val="000000"/>
          <w:sz w:val="44"/>
          <w:szCs w:val="44"/>
          <w14:ligatures w14:val="none"/>
        </w:rPr>
        <w:outlineLvl w:val="0"/>
      </w:pPr>
      <w:r/>
      <w:bookmarkStart w:id="50" w:name="_Toc3338"/>
      <w:r>
        <w:rPr>
          <w:rFonts w:hint="eastAsia" w:ascii="宋体" w:hAnsi="宋体" w:eastAsia="宋体" w:cs="宋体"/>
          <w:b/>
          <w:bCs/>
          <w:color w:val="000000"/>
          <w:sz w:val="44"/>
          <w:szCs w:val="44"/>
          <w14:ligatures w14:val="none"/>
        </w:rPr>
        <w:t xml:space="preserve">第二章  </w:t>
      </w:r>
      <w:bookmarkEnd w:id="49"/>
      <w:r/>
      <w:bookmarkStart w:id="51" w:name="_Toc16938518"/>
      <w:r/>
      <w:bookmarkStart w:id="52" w:name="_Toc20823274"/>
      <w:r/>
      <w:bookmarkStart w:id="53" w:name="_Toc513029202"/>
      <w:r/>
      <w:bookmarkStart w:id="54" w:name="_Toc120614213"/>
      <w:r>
        <w:rPr>
          <w:rFonts w:hint="eastAsia" w:ascii="宋体" w:hAnsi="宋体" w:eastAsia="宋体" w:cs="宋体"/>
          <w:b/>
          <w:bCs/>
          <w:color w:val="000000"/>
          <w:sz w:val="44"/>
          <w:szCs w:val="44"/>
          <w14:ligatures w14:val="none"/>
        </w:rPr>
        <w:t xml:space="preserve">投标人须知</w:t>
      </w:r>
      <w:bookmarkEnd w:id="50"/>
      <w:r/>
      <w:bookmarkEnd w:id="51"/>
      <w:r/>
      <w:bookmarkEnd w:id="52"/>
      <w:r/>
      <w:bookmarkEnd w:id="53"/>
      <w:r/>
      <w:bookmarkEnd w:id="54"/>
      <w:r/>
      <w:r/>
    </w:p>
    <w:p>
      <w:pPr>
        <w:pStyle w:val="800"/>
        <w:ind w:firstLine="498"/>
        <w:jc w:val="both"/>
        <w:keepLines/>
        <w:keepNext/>
        <w:spacing w:before="145" w:beforeAutospacing="0" w:after="145" w:afterAutospacing="0" w:line="360" w:lineRule="auto"/>
        <w:rPr>
          <w:rFonts w:hint="eastAsia" w:ascii="宋体" w:hAnsi="宋体" w:cs="宋体"/>
        </w:rPr>
      </w:pPr>
      <w:r/>
      <w:bookmarkStart w:id="55" w:name="_Toc120614214"/>
      <w:r/>
      <w:bookmarkStart w:id="56" w:name="_Toc513029203"/>
      <w:r/>
      <w:bookmarkStart w:id="57" w:name="_Toc16938519"/>
      <w:r/>
      <w:bookmarkStart w:id="58" w:name="_Toc20823275"/>
      <w:r/>
      <w:bookmarkStart w:id="59" w:name="_Hlt26954852"/>
      <w:r/>
      <w:bookmarkStart w:id="60" w:name="_Hlt26670360"/>
      <w:r/>
      <w:bookmarkStart w:id="61" w:name="_Hlt26954848"/>
      <w:r/>
      <w:bookmarkStart w:id="62" w:name="_Hlt26954846"/>
      <w:r/>
      <w:bookmarkStart w:id="63" w:name="_Toc513029226"/>
      <w:r/>
      <w:bookmarkStart w:id="64" w:name="_Hlt26954739"/>
      <w:r/>
      <w:bookmarkStart w:id="65" w:name="_Hlt26954731"/>
      <w:r/>
      <w:bookmarkStart w:id="66" w:name="_Hlt26670486"/>
      <w:r/>
      <w:bookmarkStart w:id="67" w:name="_Hlt26670482"/>
      <w:r/>
      <w:bookmarkStart w:id="68" w:name="_Hlt26668975"/>
      <w:r/>
      <w:bookmarkStart w:id="69" w:name="_Hlt16619475"/>
      <w:r/>
      <w:bookmarkStart w:id="70" w:name="_Hlt26954838"/>
      <w:r>
        <w:rPr>
          <w:rFonts w:hint="eastAsia" w:ascii="宋体" w:hAnsi="宋体" w:cs="宋体"/>
          <w:b/>
          <w:color w:val="000000"/>
        </w:rPr>
        <w:t xml:space="preserve">一、总则</w:t>
      </w:r>
      <w:bookmarkEnd w:id="55"/>
      <w:r/>
      <w:bookmarkEnd w:id="56"/>
      <w:r/>
      <w:bookmarkEnd w:id="57"/>
      <w:r/>
      <w:bookmarkEnd w:id="58"/>
      <w:r/>
      <w:r/>
    </w:p>
    <w:p>
      <w:pPr>
        <w:pStyle w:val="800"/>
        <w:ind w:left="440"/>
        <w:jc w:val="both"/>
        <w:keepLines/>
        <w:keepNext/>
        <w:spacing w:beforeAutospacing="0" w:afterAutospacing="0" w:line="360" w:lineRule="auto"/>
        <w:rPr>
          <w:rFonts w:hint="eastAsia" w:ascii="宋体" w:hAnsi="宋体" w:cs="宋体"/>
        </w:rPr>
      </w:pPr>
      <w:r/>
      <w:bookmarkStart w:id="71" w:name="_Toc20823276"/>
      <w:r/>
      <w:bookmarkStart w:id="72" w:name="_Toc513029204"/>
      <w:r/>
      <w:bookmarkStart w:id="73" w:name="_Toc458694821"/>
      <w:r/>
      <w:bookmarkStart w:id="74" w:name="_Toc16938520"/>
      <w:r>
        <w:rPr>
          <w:rFonts w:hint="eastAsia" w:ascii="宋体" w:hAnsi="宋体" w:cs="宋体"/>
          <w:color w:val="000000"/>
        </w:rPr>
        <w:t xml:space="preserve">1</w:t>
      </w:r>
      <w:bookmarkEnd w:id="71"/>
      <w:r>
        <w:rPr>
          <w:rFonts w:hint="eastAsia" w:ascii="宋体" w:hAnsi="宋体" w:cs="宋体"/>
          <w:color w:val="000000"/>
        </w:rPr>
        <w:t xml:space="preserve">、招标方式</w:t>
      </w:r>
      <w:bookmarkEnd w:id="72"/>
      <w:r/>
      <w:bookmarkEnd w:id="73"/>
      <w:r/>
      <w:bookmarkEnd w:id="74"/>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1.1 本次招标采取公开招标方式，本招标文件仅适用于招标公告中所述项目。</w:t>
      </w:r>
      <w:r/>
    </w:p>
    <w:p>
      <w:pPr>
        <w:pStyle w:val="800"/>
        <w:ind w:left="440"/>
        <w:jc w:val="both"/>
        <w:keepLines/>
        <w:keepNext/>
        <w:spacing w:beforeAutospacing="0" w:afterAutospacing="0" w:line="360" w:lineRule="auto"/>
        <w:rPr>
          <w:rFonts w:hint="eastAsia" w:ascii="宋体" w:hAnsi="宋体" w:cs="宋体"/>
        </w:rPr>
      </w:pPr>
      <w:r/>
      <w:bookmarkStart w:id="75" w:name="_Toc20823277"/>
      <w:r/>
      <w:bookmarkStart w:id="76" w:name="_Toc16938521"/>
      <w:r/>
      <w:bookmarkStart w:id="77" w:name="_Toc513029205"/>
      <w:r>
        <w:rPr>
          <w:rFonts w:hint="eastAsia" w:ascii="宋体" w:hAnsi="宋体" w:cs="宋体"/>
          <w:color w:val="000000"/>
        </w:rPr>
        <w:t xml:space="preserve">2、合格的投标人</w:t>
      </w:r>
      <w:bookmarkEnd w:id="75"/>
      <w:r/>
      <w:bookmarkEnd w:id="76"/>
      <w:r/>
      <w:bookmarkEnd w:id="77"/>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2.1满足招标公告中供应商的资格要求的规定。</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2.2 满足本文件实质性要求和条件的规定。</w:t>
      </w:r>
      <w:r/>
    </w:p>
    <w:p>
      <w:pPr>
        <w:pStyle w:val="800"/>
        <w:ind w:left="440"/>
        <w:jc w:val="both"/>
        <w:keepLines/>
        <w:keepNext/>
        <w:spacing w:beforeAutospacing="0" w:afterAutospacing="0" w:line="360" w:lineRule="auto"/>
        <w:rPr>
          <w:rFonts w:hint="eastAsia" w:ascii="宋体" w:hAnsi="宋体" w:cs="宋体"/>
        </w:rPr>
      </w:pPr>
      <w:r/>
      <w:bookmarkStart w:id="78" w:name="_Toc513029206"/>
      <w:r/>
      <w:bookmarkStart w:id="79" w:name="_Toc20823278"/>
      <w:r/>
      <w:bookmarkStart w:id="80" w:name="_Toc16938522"/>
      <w:r>
        <w:rPr>
          <w:rFonts w:hint="eastAsia" w:ascii="宋体" w:hAnsi="宋体" w:cs="宋体"/>
          <w:color w:val="000000"/>
        </w:rPr>
        <w:t xml:space="preserve">3、适用法律</w:t>
      </w:r>
      <w:bookmarkEnd w:id="78"/>
      <w:r/>
      <w:bookmarkEnd w:id="79"/>
      <w:r/>
      <w:bookmarkEnd w:id="80"/>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3.1 本次招标及由此产生的合同受中华人民共和国有关的法律法规制约和保护。</w:t>
      </w:r>
      <w:r/>
    </w:p>
    <w:p>
      <w:pPr>
        <w:pStyle w:val="800"/>
        <w:ind w:left="440"/>
        <w:jc w:val="both"/>
        <w:keepLines/>
        <w:keepNext/>
        <w:spacing w:beforeAutospacing="0" w:afterAutospacing="0" w:line="360" w:lineRule="auto"/>
        <w:rPr>
          <w:rFonts w:hint="eastAsia" w:ascii="宋体" w:hAnsi="宋体" w:cs="宋体"/>
        </w:rPr>
      </w:pPr>
      <w:r/>
      <w:bookmarkStart w:id="81" w:name="_Toc20823279"/>
      <w:r/>
      <w:bookmarkStart w:id="82" w:name="_Toc513029207"/>
      <w:r/>
      <w:bookmarkStart w:id="83" w:name="_Toc16938523"/>
      <w:r/>
      <w:bookmarkStart w:id="84" w:name="_Toc462564067"/>
      <w:r>
        <w:rPr>
          <w:rFonts w:hint="eastAsia" w:ascii="宋体" w:hAnsi="宋体" w:cs="宋体"/>
          <w:color w:val="000000"/>
        </w:rPr>
        <w:t xml:space="preserve">4、投标费用</w:t>
      </w:r>
      <w:bookmarkEnd w:id="81"/>
      <w:r/>
      <w:bookmarkEnd w:id="82"/>
      <w:r/>
      <w:bookmarkEnd w:id="83"/>
      <w:r/>
      <w:bookmarkEnd w:id="84"/>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4.1 投标人应自行承担所有与参加投标有关的费用，无论投标过程中的做法和结果如何，响水县公共资源交易中心（响水县政府采购中心）（以下简称采购中心）在任何情况下均无义务和责任承担这些费用。</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4.2本次招标采购中心和采购人不收取标书工本费与中标服务费。</w:t>
      </w:r>
      <w:r/>
    </w:p>
    <w:p>
      <w:pPr>
        <w:pStyle w:val="800"/>
        <w:ind w:left="440"/>
        <w:jc w:val="both"/>
        <w:keepLines/>
        <w:keepNext/>
        <w:spacing w:beforeAutospacing="0" w:afterAutospacing="0" w:line="360" w:lineRule="auto"/>
        <w:rPr>
          <w:rFonts w:hint="eastAsia" w:ascii="宋体" w:hAnsi="宋体" w:cs="宋体"/>
        </w:rPr>
      </w:pPr>
      <w:r>
        <w:rPr>
          <w:rFonts w:hint="eastAsia" w:ascii="宋体" w:hAnsi="宋体" w:cs="宋体"/>
          <w:b/>
          <w:color w:val="000000"/>
        </w:rPr>
        <w:t xml:space="preserve">5、</w:t>
      </w:r>
      <w:r>
        <w:rPr>
          <w:rFonts w:hint="eastAsia" w:ascii="宋体" w:hAnsi="宋体" w:cs="宋体"/>
          <w:color w:val="000000"/>
        </w:rPr>
        <w:t xml:space="preserve">招标文件的约束力</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5.1 投标人一旦参加本项目采购活动，即被认为接受了本招标文件的规定和约束。</w:t>
      </w:r>
      <w:r/>
    </w:p>
    <w:p>
      <w:pPr>
        <w:pStyle w:val="800"/>
        <w:ind w:firstLine="321"/>
        <w:jc w:val="both"/>
        <w:keepLines/>
        <w:keepNext/>
        <w:spacing w:before="145" w:beforeAutospacing="0" w:after="145" w:afterAutospacing="0" w:line="360" w:lineRule="auto"/>
        <w:rPr>
          <w:rFonts w:hint="eastAsia" w:ascii="宋体" w:hAnsi="宋体" w:cs="宋体"/>
        </w:rPr>
      </w:pPr>
      <w:r/>
      <w:bookmarkStart w:id="85" w:name="_Toc513029209"/>
      <w:r/>
      <w:bookmarkStart w:id="86" w:name="_Toc16938525"/>
      <w:r/>
      <w:bookmarkStart w:id="87" w:name="_Toc120614215"/>
      <w:r/>
      <w:bookmarkStart w:id="88" w:name="_Toc20823281"/>
      <w:r>
        <w:rPr>
          <w:rFonts w:hint="eastAsia" w:ascii="宋体" w:hAnsi="宋体" w:cs="宋体"/>
          <w:b/>
          <w:color w:val="000000"/>
        </w:rPr>
        <w:t xml:space="preserve">二、招标文件</w:t>
      </w:r>
      <w:bookmarkEnd w:id="85"/>
      <w:r/>
      <w:bookmarkEnd w:id="86"/>
      <w:r/>
      <w:bookmarkEnd w:id="87"/>
      <w:r/>
      <w:bookmarkEnd w:id="88"/>
      <w:r/>
      <w:r/>
    </w:p>
    <w:p>
      <w:pPr>
        <w:pStyle w:val="800"/>
        <w:ind w:left="440"/>
        <w:jc w:val="both"/>
        <w:keepLines/>
        <w:keepNext/>
        <w:spacing w:beforeAutospacing="0" w:afterAutospacing="0" w:line="360" w:lineRule="auto"/>
        <w:rPr>
          <w:rFonts w:hint="eastAsia" w:ascii="宋体" w:hAnsi="宋体" w:cs="宋体"/>
        </w:rPr>
      </w:pPr>
      <w:r/>
      <w:bookmarkStart w:id="89" w:name="_Toc20823282"/>
      <w:r/>
      <w:bookmarkStart w:id="90" w:name="_Toc16938526"/>
      <w:r/>
      <w:bookmarkStart w:id="91" w:name="_Toc513029210"/>
      <w:r>
        <w:rPr>
          <w:rFonts w:hint="eastAsia" w:ascii="宋体" w:hAnsi="宋体" w:cs="宋体"/>
          <w:color w:val="000000"/>
        </w:rPr>
        <w:t xml:space="preserve">6、招标文件构成</w:t>
      </w:r>
      <w:bookmarkEnd w:id="89"/>
      <w:r/>
      <w:bookmarkEnd w:id="90"/>
      <w:r/>
      <w:bookmarkEnd w:id="91"/>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6.1 招标文件由以下部分组成：</w:t>
      </w:r>
      <w:r/>
    </w:p>
    <w:p>
      <w:pPr>
        <w:pStyle w:val="800"/>
        <w:ind w:left="44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（1）招标公告</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（2）投标人须知</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（3）合同文本</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（4）采购需求</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（5）评标方法与评标标准</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（6）投标文件格式</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请仔细检查招标文件是否齐全，如有缺漏请立即与采购中心联系解决。</w:t>
      </w:r>
      <w:r/>
    </w:p>
    <w:p>
      <w:pPr>
        <w:pStyle w:val="800"/>
        <w:ind w:firstLine="480"/>
        <w:spacing w:beforeAutospacing="0" w:afterAutospacing="0" w:line="360" w:lineRule="auto"/>
        <w:rPr>
          <w:rFonts w:hint="eastAsia" w:ascii="宋体" w:hAnsi="宋体" w:cs="宋体"/>
        </w:rPr>
      </w:pPr>
      <w:r>
        <w:rPr>
          <w:rFonts w:hint="eastAsia" w:ascii="宋体" w:hAnsi="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0"/>
        <w:ind w:left="440"/>
        <w:jc w:val="both"/>
        <w:keepLines/>
        <w:keepNext/>
        <w:spacing w:beforeAutospacing="0" w:afterAutospacing="0" w:line="360" w:lineRule="auto"/>
        <w:rPr>
          <w:rFonts w:hint="eastAsia" w:ascii="宋体" w:hAnsi="宋体" w:cs="宋体"/>
        </w:rPr>
      </w:pPr>
      <w:r/>
      <w:bookmarkStart w:id="92" w:name="_Toc513029211"/>
      <w:r/>
      <w:bookmarkStart w:id="93" w:name="_Toc16938527"/>
      <w:r/>
      <w:bookmarkStart w:id="94" w:name="_Toc20823283"/>
      <w:r/>
      <w:bookmarkStart w:id="95" w:name="_Toc462564070"/>
      <w:r>
        <w:rPr>
          <w:rFonts w:hint="eastAsia" w:ascii="宋体" w:hAnsi="宋体" w:cs="宋体"/>
          <w:color w:val="000000"/>
        </w:rPr>
        <w:t xml:space="preserve">7、招标文件的澄清</w:t>
      </w:r>
      <w:bookmarkEnd w:id="92"/>
      <w:r/>
      <w:bookmarkEnd w:id="93"/>
      <w:r/>
      <w:bookmarkEnd w:id="94"/>
      <w:r/>
      <w:bookmarkEnd w:id="95"/>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7.1 任何要求对招标文件进行澄清的投标人，应在投标截止期</w:t>
      </w:r>
      <w:r>
        <w:rPr>
          <w:rFonts w:hint="eastAsia" w:ascii="宋体" w:hAnsi="宋体" w:cs="宋体"/>
          <w:b/>
          <w:color w:val="000000"/>
        </w:rPr>
        <w:t xml:space="preserve">十日</w:t>
      </w:r>
      <w:r>
        <w:rPr>
          <w:rFonts w:hint="eastAsia" w:ascii="宋体" w:hAnsi="宋体" w:cs="宋体"/>
          <w:color w:val="000000"/>
        </w:rPr>
        <w:t xml:space="preserve">前按招标公告中的通讯地址，以书面形式通知采购中心。</w:t>
      </w:r>
      <w:r/>
    </w:p>
    <w:p>
      <w:pPr>
        <w:pStyle w:val="800"/>
        <w:ind w:left="440"/>
        <w:jc w:val="both"/>
        <w:keepLines/>
        <w:keepNext/>
        <w:spacing w:beforeAutospacing="0" w:afterAutospacing="0" w:line="360" w:lineRule="auto"/>
        <w:rPr>
          <w:rFonts w:hint="eastAsia" w:ascii="宋体" w:hAnsi="宋体" w:cs="宋体"/>
        </w:rPr>
      </w:pPr>
      <w:r/>
      <w:bookmarkStart w:id="96" w:name="_Toc513029212"/>
      <w:r/>
      <w:bookmarkStart w:id="97" w:name="_Toc16938528"/>
      <w:r/>
      <w:bookmarkStart w:id="98" w:name="_Toc20823284"/>
      <w:r/>
      <w:bookmarkStart w:id="99" w:name="_Toc462564071"/>
      <w:r>
        <w:rPr>
          <w:rFonts w:hint="eastAsia" w:ascii="宋体" w:hAnsi="宋体" w:cs="宋体"/>
          <w:color w:val="000000"/>
        </w:rPr>
        <w:t xml:space="preserve">8、招标文件的修改</w:t>
      </w:r>
      <w:bookmarkEnd w:id="96"/>
      <w:r/>
      <w:bookmarkEnd w:id="97"/>
      <w:r/>
      <w:bookmarkEnd w:id="98"/>
      <w:r/>
      <w:bookmarkEnd w:id="99"/>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8.1 在投标截止时间前，采购中心可以对招标文件进行修改。</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8.2 采购中心有权按照法定的要求推迟投标截止日期和开标日期。</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8.3 招标文件的修改将在中国政府采购网</w:t>
      </w:r>
      <w:r>
        <w:rPr>
          <w:rFonts w:hint="eastAsia" w:ascii="宋体" w:hAnsi="宋体" w:cs="宋体"/>
          <w:color w:val="333333"/>
          <w:shd w:val="clear" w:color="auto" w:fill="ffffff"/>
        </w:rPr>
        <w:t xml:space="preserve">、</w:t>
      </w:r>
      <w:r>
        <w:rPr>
          <w:rFonts w:hint="eastAsia" w:ascii="宋体" w:hAnsi="宋体" w:cs="宋体"/>
          <w:color w:val="000000"/>
        </w:rPr>
        <w:t xml:space="preserve">江苏政府采购网、盐城市政府采购网公布，补充文件将作为招标文件的组成部分，并对投标人具有约束力。</w:t>
      </w:r>
      <w:r/>
    </w:p>
    <w:p>
      <w:pPr>
        <w:pStyle w:val="800"/>
        <w:ind w:firstLine="482"/>
        <w:jc w:val="both"/>
        <w:keepLines/>
        <w:keepNext/>
        <w:spacing w:before="145" w:beforeAutospacing="0" w:after="145" w:afterAutospacing="0" w:line="360" w:lineRule="auto"/>
        <w:rPr>
          <w:rFonts w:hint="eastAsia" w:ascii="宋体" w:hAnsi="宋体" w:cs="宋体"/>
        </w:rPr>
      </w:pPr>
      <w:r/>
      <w:bookmarkStart w:id="100" w:name="_Toc513029213"/>
      <w:r/>
      <w:bookmarkStart w:id="101" w:name="_Toc20823285"/>
      <w:r/>
      <w:bookmarkStart w:id="102" w:name="_Toc16938529"/>
      <w:r/>
      <w:bookmarkStart w:id="103" w:name="_Toc462564072"/>
      <w:r/>
      <w:bookmarkStart w:id="104" w:name="_Toc120614216"/>
      <w:r>
        <w:rPr>
          <w:rFonts w:hint="eastAsia" w:ascii="宋体" w:hAnsi="宋体" w:cs="宋体"/>
          <w:b/>
          <w:color w:val="000000"/>
        </w:rPr>
        <w:t xml:space="preserve">三、投标文件的编制</w:t>
      </w:r>
      <w:bookmarkEnd w:id="100"/>
      <w:r/>
      <w:bookmarkEnd w:id="101"/>
      <w:r/>
      <w:bookmarkEnd w:id="102"/>
      <w:r/>
      <w:bookmarkEnd w:id="103"/>
      <w:r/>
      <w:bookmarkEnd w:id="104"/>
      <w:r/>
      <w:r/>
    </w:p>
    <w:p>
      <w:pPr>
        <w:pStyle w:val="800"/>
        <w:ind w:firstLine="480"/>
        <w:jc w:val="both"/>
        <w:keepLines/>
        <w:keepNext/>
        <w:spacing w:beforeAutospacing="0" w:afterAutospacing="0" w:line="360" w:lineRule="auto"/>
        <w:rPr>
          <w:rFonts w:hint="eastAsia" w:ascii="宋体" w:hAnsi="宋体" w:cs="宋体"/>
        </w:rPr>
      </w:pPr>
      <w:r/>
      <w:bookmarkStart w:id="105" w:name="_Toc462564073"/>
      <w:r/>
      <w:bookmarkStart w:id="106" w:name="_Toc513029214"/>
      <w:r/>
      <w:bookmarkStart w:id="107" w:name="_Toc16938530"/>
      <w:r/>
      <w:bookmarkStart w:id="108" w:name="_Toc20823286"/>
      <w:r>
        <w:rPr>
          <w:rFonts w:hint="eastAsia" w:ascii="宋体" w:hAnsi="宋体" w:cs="宋体"/>
          <w:color w:val="000000"/>
        </w:rPr>
        <w:t xml:space="preserve">9、投标文件的语言及度量衡单位</w:t>
      </w:r>
      <w:bookmarkEnd w:id="105"/>
      <w:r/>
      <w:bookmarkEnd w:id="106"/>
      <w:r/>
      <w:bookmarkEnd w:id="107"/>
      <w:r/>
      <w:bookmarkEnd w:id="108"/>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9.1 投标人提交的投标文件以及投标人与采购中心就有关投标的所有来往通知、函件和文件均应使用</w:t>
      </w:r>
      <w:r>
        <w:rPr>
          <w:rFonts w:hint="eastAsia" w:ascii="宋体" w:hAnsi="宋体" w:cs="宋体"/>
          <w:b/>
          <w:color w:val="000000"/>
        </w:rPr>
        <w:t xml:space="preserve">简体中文</w:t>
      </w:r>
      <w:r>
        <w:rPr>
          <w:rFonts w:hint="eastAsia" w:ascii="宋体" w:hAnsi="宋体" w:cs="宋体"/>
          <w:color w:val="000000"/>
        </w:rPr>
        <w:t xml:space="preserve">。</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9.2 除技术性能另有规定外，投标文件所使用的度量衡单位，均须采用国家法定计量单位。</w:t>
      </w:r>
      <w:r/>
    </w:p>
    <w:p>
      <w:pPr>
        <w:pStyle w:val="800"/>
        <w:ind w:firstLine="480"/>
        <w:jc w:val="both"/>
        <w:keepLines/>
        <w:keepNext/>
        <w:spacing w:beforeAutospacing="0" w:afterAutospacing="0" w:line="360" w:lineRule="auto"/>
        <w:rPr>
          <w:rFonts w:hint="eastAsia" w:ascii="宋体" w:hAnsi="宋体" w:cs="宋体"/>
        </w:rPr>
      </w:pPr>
      <w:r/>
      <w:bookmarkStart w:id="109" w:name="_Toc16938531"/>
      <w:r/>
      <w:bookmarkStart w:id="110" w:name="_Toc462564074"/>
      <w:r/>
      <w:bookmarkStart w:id="111" w:name="_Toc513029215"/>
      <w:r/>
      <w:bookmarkStart w:id="112" w:name="_Toc20823287"/>
      <w:r>
        <w:rPr>
          <w:rFonts w:hint="eastAsia" w:ascii="宋体" w:hAnsi="宋体" w:cs="宋体"/>
          <w:color w:val="000000"/>
        </w:rPr>
        <w:t xml:space="preserve">10、投标文件构成</w:t>
      </w:r>
      <w:bookmarkEnd w:id="109"/>
      <w:r/>
      <w:bookmarkEnd w:id="110"/>
      <w:r/>
      <w:bookmarkEnd w:id="111"/>
      <w:r/>
      <w:bookmarkEnd w:id="112"/>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10.2 如标书制作工具中格式和内容与</w:t>
      </w:r>
      <w:r>
        <w:rPr>
          <w:rFonts w:hint="eastAsia" w:ascii="宋体" w:hAnsi="宋体" w:cs="宋体"/>
          <w:color w:val="333333"/>
          <w:shd w:val="clear" w:color="auto" w:fill="ffffff"/>
        </w:rPr>
        <w:t xml:space="preserve">“</w:t>
      </w:r>
      <w:r>
        <w:rPr>
          <w:rFonts w:hint="eastAsia" w:ascii="宋体" w:hAnsi="宋体" w:cs="宋体"/>
          <w:color w:val="000000"/>
        </w:rPr>
        <w:t xml:space="preserve">中国政府采购网”“江苏政府采购网”“盐城市政府采购网</w:t>
      </w:r>
      <w:r>
        <w:rPr>
          <w:rFonts w:hint="eastAsia" w:ascii="宋体" w:hAnsi="宋体" w:cs="宋体"/>
          <w:color w:val="333333"/>
          <w:shd w:val="clear" w:color="auto" w:fill="ffffff"/>
        </w:rPr>
        <w:t xml:space="preserve">”</w:t>
      </w:r>
      <w:r>
        <w:rPr>
          <w:rFonts w:hint="eastAsia" w:ascii="宋体" w:hAnsi="宋体" w:cs="宋体"/>
          <w:color w:val="000000"/>
        </w:rPr>
        <w:t xml:space="preserve">发布的招标文件不一致，请以中国政府采购网”“江苏政府采购网”“盐城市政府采购网</w:t>
      </w:r>
      <w:r>
        <w:rPr>
          <w:rFonts w:hint="eastAsia" w:ascii="宋体" w:hAnsi="宋体" w:cs="宋体"/>
          <w:color w:val="333333"/>
          <w:shd w:val="clear" w:color="auto" w:fill="ffffff"/>
        </w:rPr>
        <w:t xml:space="preserve">”</w:t>
      </w:r>
      <w:r>
        <w:rPr>
          <w:rFonts w:hint="eastAsia" w:ascii="宋体" w:hAnsi="宋体" w:cs="宋体"/>
          <w:color w:val="000000"/>
        </w:rPr>
        <w:t xml:space="preserve">发布的招标文件为准。</w:t>
      </w:r>
      <w:r/>
    </w:p>
    <w:p>
      <w:pPr>
        <w:pStyle w:val="800"/>
        <w:ind w:firstLine="480"/>
        <w:jc w:val="both"/>
        <w:keepLines/>
        <w:keepNext/>
        <w:spacing w:beforeAutospacing="0" w:afterAutospacing="0" w:line="360" w:lineRule="auto"/>
        <w:rPr>
          <w:rFonts w:hint="eastAsia" w:ascii="宋体" w:hAnsi="宋体" w:cs="宋体"/>
        </w:rPr>
      </w:pPr>
      <w:r/>
      <w:bookmarkStart w:id="113" w:name="_Toc49090508"/>
      <w:r/>
      <w:bookmarkStart w:id="114" w:name="_Toc14577354"/>
      <w:r/>
      <w:bookmarkStart w:id="115" w:name="_Toc14577355"/>
      <w:r/>
      <w:bookmarkStart w:id="116" w:name="_Toc49090509"/>
      <w:r/>
      <w:bookmarkStart w:id="117" w:name="_Toc14577357"/>
      <w:r/>
      <w:bookmarkStart w:id="118" w:name="_Toc513029219"/>
      <w:r/>
      <w:bookmarkStart w:id="119" w:name="_Toc49090507"/>
      <w:r/>
      <w:bookmarkStart w:id="120" w:name="_Toc513029216"/>
      <w:r>
        <w:rPr>
          <w:rFonts w:hint="eastAsia" w:ascii="宋体" w:hAnsi="宋体" w:cs="宋体"/>
          <w:color w:val="000000"/>
        </w:rPr>
        <w:t xml:space="preserve">11、证明投标人及投标标的符合招标文件规定的文件</w:t>
      </w:r>
      <w:bookmarkEnd w:id="113"/>
      <w:r/>
      <w:bookmarkEnd w:id="114"/>
      <w:r/>
      <w:bookmarkEnd w:id="115"/>
      <w:r/>
      <w:bookmarkEnd w:id="116"/>
      <w:r/>
      <w:bookmarkEnd w:id="117"/>
      <w:r/>
      <w:bookmarkEnd w:id="118"/>
      <w:r/>
      <w:bookmarkEnd w:id="119"/>
      <w:r/>
      <w:bookmarkEnd w:id="120"/>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11.1 投标人应按照招标文件要求提交证明文件，证明其及投标标的符合招标文件规定。</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11.2招标文件对证明文件无明确形式要求的，证明文件可以以文字资料、图纸和数据等形式提交。</w:t>
      </w:r>
      <w:r/>
    </w:p>
    <w:p>
      <w:pPr>
        <w:pStyle w:val="800"/>
        <w:ind w:left="440"/>
        <w:jc w:val="both"/>
        <w:keepLines/>
        <w:keepNext/>
        <w:spacing w:beforeAutospacing="0" w:afterAutospacing="0" w:line="360" w:lineRule="auto"/>
        <w:rPr>
          <w:rFonts w:hint="eastAsia" w:ascii="宋体" w:hAnsi="宋体" w:cs="宋体"/>
        </w:rPr>
      </w:pPr>
      <w:r>
        <w:rPr>
          <w:rFonts w:hint="eastAsia" w:ascii="宋体" w:hAnsi="宋体" w:cs="宋体"/>
          <w:color w:val="000000"/>
        </w:rPr>
        <w:t xml:space="preserve">12、投标分项报价表</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12.1 投标人应按照招标文件规定格式填报投标分项报价表。</w:t>
      </w:r>
      <w:r/>
    </w:p>
    <w:p>
      <w:pPr>
        <w:pStyle w:val="800"/>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12.2投标货币。投标文件中的单价和总价无特殊规定的采用人民币报价，以元为单位标注。招标文件中另有规定的按规定执行。</w:t>
      </w:r>
      <w:r/>
    </w:p>
    <w:p>
      <w:pPr>
        <w:pStyle w:val="800"/>
        <w:ind w:firstLine="482"/>
        <w:jc w:val="both"/>
        <w:spacing w:beforeAutospacing="0" w:afterAutospacing="0" w:line="360" w:lineRule="auto"/>
        <w:rPr>
          <w:rFonts w:hint="eastAsia" w:ascii="宋体" w:hAnsi="宋体" w:cs="宋体"/>
          <w:color w:val="000000"/>
        </w:rPr>
      </w:pPr>
      <w:r>
        <w:rPr>
          <w:rFonts w:hint="eastAsia" w:ascii="宋体" w:hAnsi="宋体" w:cs="宋体"/>
          <w:b/>
          <w:bCs/>
          <w:color w:val="ff0000"/>
        </w:rPr>
        <w:t xml:space="preserve">特别说明：中标人与采购人签订合同前，须向采购人委托的第三方咨询公司支付咨询服务费用，本次咨询服务费用按照苏招协（2022）002号文件规定标准计取，由中标人承担，不单独列项，由供应商在报价时综合考虑。</w:t>
      </w:r>
      <w:r/>
    </w:p>
    <w:p>
      <w:pPr>
        <w:pStyle w:val="800"/>
        <w:ind w:left="440"/>
        <w:jc w:val="both"/>
        <w:keepLines/>
        <w:keepNext/>
        <w:spacing w:beforeAutospacing="0" w:afterAutospacing="0" w:line="360" w:lineRule="auto"/>
        <w:rPr>
          <w:rFonts w:hint="eastAsia" w:ascii="宋体" w:hAnsi="宋体" w:cs="宋体"/>
        </w:rPr>
      </w:pPr>
      <w:r>
        <w:rPr>
          <w:rFonts w:hint="eastAsia" w:ascii="宋体" w:hAnsi="宋体" w:cs="宋体"/>
          <w:color w:val="000000"/>
        </w:rPr>
        <w:t xml:space="preserve">13、技术要求响应及偏离表、商务要求响应及偏离表</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13.1 </w:t>
      </w:r>
      <w:r>
        <w:rPr>
          <w:rFonts w:hint="eastAsia" w:ascii="宋体" w:hAnsi="宋体" w:cs="宋体"/>
          <w:b/>
          <w:bCs/>
          <w:color w:val="000000"/>
        </w:rPr>
        <w:t xml:space="preserve">投标人需对招标文件中的技术要求与商务要求逐项作出响应或偏离，并说明原因。</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13.2 投标人可在投标文件中提供认为需要的其他技术文件或说明。</w:t>
      </w:r>
      <w:r/>
    </w:p>
    <w:p>
      <w:pPr>
        <w:pStyle w:val="800"/>
        <w:ind w:left="440"/>
        <w:jc w:val="both"/>
        <w:keepLines/>
        <w:keepNext/>
        <w:spacing w:beforeAutospacing="0" w:afterAutospacing="0" w:line="360" w:lineRule="auto"/>
        <w:rPr>
          <w:rFonts w:hint="eastAsia" w:ascii="宋体" w:hAnsi="宋体" w:cs="宋体"/>
        </w:rPr>
      </w:pPr>
      <w:r>
        <w:rPr>
          <w:rFonts w:hint="eastAsia" w:ascii="宋体" w:hAnsi="宋体" w:cs="宋体"/>
          <w:color w:val="000000"/>
        </w:rPr>
        <w:t xml:space="preserve">14、服务承诺、培训计划、人员安排及其他</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14.2 投标人需根据招标文件要求提供培训计划。</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14.3投标人需根据招标文件要求提供所投标的的主要组成部分、功能设计、实现思路及关键技术等。</w:t>
      </w:r>
      <w:r/>
    </w:p>
    <w:p>
      <w:pPr>
        <w:pStyle w:val="800"/>
        <w:ind w:left="440"/>
        <w:jc w:val="both"/>
        <w:keepLines/>
        <w:keepNext/>
        <w:spacing w:beforeAutospacing="0" w:afterAutospacing="0" w:line="360" w:lineRule="auto"/>
        <w:rPr>
          <w:rFonts w:hint="eastAsia" w:ascii="宋体" w:hAnsi="宋体" w:cs="宋体"/>
        </w:rPr>
      </w:pPr>
      <w:r/>
      <w:bookmarkStart w:id="121" w:name="_Toc14577359"/>
      <w:r/>
      <w:bookmarkStart w:id="122" w:name="_Toc49090510"/>
      <w:r>
        <w:rPr>
          <w:rFonts w:hint="eastAsia" w:ascii="宋体" w:hAnsi="宋体" w:cs="宋体"/>
          <w:color w:val="000000"/>
        </w:rPr>
        <w:t xml:space="preserve">15、投标函和开标一览表</w:t>
      </w:r>
      <w:bookmarkEnd w:id="121"/>
      <w:r/>
      <w:bookmarkEnd w:id="122"/>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15.1 投标人应按照招标文件中提供的格式完整、正确填写投标函、开标一览表。</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800"/>
        <w:ind w:left="440"/>
        <w:jc w:val="both"/>
        <w:keepLines/>
        <w:keepNext/>
        <w:spacing w:beforeAutospacing="0" w:afterAutospacing="0" w:line="360" w:lineRule="auto"/>
        <w:rPr>
          <w:rFonts w:hint="eastAsia" w:ascii="宋体" w:hAnsi="宋体" w:cs="宋体"/>
        </w:rPr>
      </w:pPr>
      <w:r/>
      <w:bookmarkStart w:id="123" w:name="_Toc14577360"/>
      <w:r/>
      <w:bookmarkStart w:id="124" w:name="_Toc49090511"/>
      <w:r>
        <w:rPr>
          <w:rFonts w:hint="eastAsia" w:ascii="宋体" w:hAnsi="宋体" w:cs="宋体"/>
          <w:color w:val="000000"/>
        </w:rPr>
        <w:t xml:space="preserve">16、投标有效期</w:t>
      </w:r>
      <w:bookmarkEnd w:id="123"/>
      <w:r/>
      <w:bookmarkEnd w:id="124"/>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16.1投标有效期为采购中心规定的开标之日后</w:t>
      </w:r>
      <w:r>
        <w:rPr>
          <w:rFonts w:hint="eastAsia" w:ascii="宋体" w:hAnsi="宋体" w:cs="宋体"/>
          <w:b/>
          <w:u w:val="single"/>
        </w:rPr>
        <w:t xml:space="preserve">九十（90）天</w:t>
      </w:r>
      <w:r>
        <w:rPr>
          <w:rFonts w:hint="eastAsia" w:ascii="宋体" w:hAnsi="宋体" w:cs="宋体"/>
          <w:color w:val="000000"/>
        </w:rPr>
        <w:t xml:space="preserve">。投标有效期比规定短的将被视为未实质性响应招标文件而予以拒绝。</w:t>
      </w:r>
      <w:r/>
    </w:p>
    <w:p>
      <w:pPr>
        <w:pStyle w:val="800"/>
        <w:ind w:left="440"/>
        <w:jc w:val="both"/>
        <w:keepLines/>
        <w:keepNext/>
        <w:spacing w:beforeAutospacing="0" w:afterAutospacing="0" w:line="360" w:lineRule="auto"/>
        <w:rPr>
          <w:rFonts w:hint="eastAsia" w:ascii="宋体" w:hAnsi="宋体" w:cs="宋体"/>
        </w:rPr>
      </w:pPr>
      <w:r>
        <w:rPr>
          <w:rFonts w:hint="eastAsia" w:ascii="宋体" w:hAnsi="宋体" w:cs="宋体"/>
          <w:color w:val="000000"/>
        </w:rPr>
        <w:t xml:space="preserve">17、投标有效期的延长</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17.1在特殊情况下，采购中心于原投标有效期满之前，可向投标人提出延中心的这一要求而放弃投标，同意延长投标有效期的投标人既不能要求也不允许修改其投标文件。受投标有效期约束的所有权利与义务均延长至新的有效期。</w:t>
      </w:r>
      <w:r/>
    </w:p>
    <w:p>
      <w:pPr>
        <w:pStyle w:val="800"/>
        <w:ind w:left="440"/>
        <w:jc w:val="both"/>
        <w:keepLines/>
        <w:keepNext/>
        <w:spacing w:before="145" w:beforeAutospacing="0" w:after="145" w:afterAutospacing="0" w:line="360" w:lineRule="auto"/>
        <w:rPr>
          <w:rFonts w:hint="eastAsia" w:ascii="宋体" w:hAnsi="宋体" w:cs="宋体"/>
        </w:rPr>
      </w:pPr>
      <w:r/>
      <w:bookmarkStart w:id="125" w:name="_Toc120614217"/>
      <w:r/>
      <w:bookmarkStart w:id="126" w:name="_Toc20823296"/>
      <w:r/>
      <w:bookmarkStart w:id="127" w:name="_Toc513029224"/>
      <w:r/>
      <w:bookmarkStart w:id="128" w:name="_Toc16938540"/>
      <w:r>
        <w:rPr>
          <w:rFonts w:hint="eastAsia" w:ascii="宋体" w:hAnsi="宋体" w:cs="宋体"/>
          <w:b/>
          <w:color w:val="000000"/>
        </w:rPr>
        <w:t xml:space="preserve">四、投标文件的递交</w:t>
      </w:r>
      <w:bookmarkEnd w:id="125"/>
      <w:r/>
      <w:bookmarkEnd w:id="126"/>
      <w:r/>
      <w:bookmarkEnd w:id="127"/>
      <w:r/>
      <w:bookmarkEnd w:id="128"/>
      <w:r/>
      <w:r/>
    </w:p>
    <w:p>
      <w:pPr>
        <w:pStyle w:val="800"/>
        <w:ind w:left="440"/>
        <w:jc w:val="both"/>
        <w:keepLines/>
        <w:keepNext/>
        <w:spacing w:beforeAutospacing="0" w:afterAutospacing="0" w:line="360" w:lineRule="auto"/>
        <w:rPr>
          <w:rFonts w:hint="eastAsia" w:ascii="宋体" w:hAnsi="宋体" w:cs="宋体"/>
        </w:rPr>
      </w:pPr>
      <w:r/>
      <w:bookmarkStart w:id="129" w:name="_Toc16938541"/>
      <w:r/>
      <w:bookmarkStart w:id="130" w:name="_Toc462564084"/>
      <w:r/>
      <w:bookmarkStart w:id="131" w:name="_Toc20823297"/>
      <w:r/>
      <w:bookmarkStart w:id="132" w:name="_Toc513029225"/>
      <w:r>
        <w:rPr>
          <w:rFonts w:hint="eastAsia" w:ascii="宋体" w:hAnsi="宋体" w:cs="宋体"/>
          <w:color w:val="000000"/>
        </w:rPr>
        <w:t xml:space="preserve">18、电子投标文件</w:t>
      </w:r>
      <w:bookmarkEnd w:id="129"/>
      <w:r/>
      <w:bookmarkEnd w:id="130"/>
      <w:r/>
      <w:bookmarkEnd w:id="131"/>
      <w:r/>
      <w:bookmarkEnd w:id="132"/>
      <w:r>
        <w:rPr>
          <w:rFonts w:hint="eastAsia" w:ascii="宋体" w:hAnsi="宋体" w:cs="宋体"/>
          <w:color w:val="000000"/>
        </w:rPr>
        <w:t xml:space="preserve">的递交</w:t>
      </w:r>
      <w:r/>
    </w:p>
    <w:p>
      <w:pPr>
        <w:pStyle w:val="800"/>
        <w:ind w:firstLine="48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18.1投标人应当按照《操作手册》规定，在投标截止时间前制作并上传电子投标文件。</w:t>
      </w:r>
      <w:bookmarkStart w:id="133" w:name="_Toc16938542"/>
      <w:r/>
      <w:bookmarkEnd w:id="133"/>
      <w:r/>
      <w:bookmarkStart w:id="134" w:name="_Toc20823298"/>
      <w:r/>
      <w:bookmarkEnd w:id="134"/>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19、投标截止日期</w:t>
      </w:r>
      <w:r/>
    </w:p>
    <w:p>
      <w:pPr>
        <w:pStyle w:val="800"/>
        <w:ind w:firstLine="480"/>
        <w:jc w:val="both"/>
        <w:spacing w:beforeAutospacing="0" w:afterAutospacing="0" w:line="360" w:lineRule="auto"/>
        <w:rPr>
          <w:rFonts w:hint="eastAsia" w:ascii="宋体" w:hAnsi="宋体" w:cs="宋体"/>
        </w:rPr>
      </w:pPr>
      <w:r>
        <w:rPr>
          <w:rFonts w:hint="eastAsia" w:ascii="宋体" w:hAnsi="宋体" w:cs="宋体"/>
          <w:i/>
          <w:color w:val="000000"/>
          <w:u w:val="single"/>
        </w:rPr>
        <w:t xml:space="preserve">19.1 投标人上传电子投标文件的时间不得迟于招标公告中规定的投标截止时间。</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19.2 采购中心可以按照规定，通过修改招标文件酌情延长投标截止日期，在此情况下，投标人的所有权利和义务以及投标人受制的截止日期均应以延长后新的截止日期为准。</w:t>
      </w:r>
      <w:r/>
    </w:p>
    <w:p>
      <w:pPr>
        <w:pStyle w:val="800"/>
        <w:ind w:left="440"/>
        <w:jc w:val="both"/>
        <w:keepLines/>
        <w:keepNext/>
        <w:spacing w:beforeAutospacing="0" w:afterAutospacing="0" w:line="360" w:lineRule="auto"/>
        <w:rPr>
          <w:rFonts w:hint="eastAsia" w:ascii="宋体" w:hAnsi="宋体" w:cs="宋体"/>
        </w:rPr>
      </w:pPr>
      <w:r/>
      <w:bookmarkStart w:id="135" w:name="_Toc513029227"/>
      <w:r/>
      <w:bookmarkStart w:id="136" w:name="_Toc16938543"/>
      <w:r/>
      <w:bookmarkStart w:id="137" w:name="_Toc20823299"/>
      <w:r>
        <w:rPr>
          <w:rFonts w:hint="eastAsia" w:ascii="宋体" w:hAnsi="宋体" w:cs="宋体"/>
          <w:color w:val="000000"/>
        </w:rPr>
        <w:t xml:space="preserve">20、投标文件</w:t>
      </w:r>
      <w:bookmarkEnd w:id="135"/>
      <w:r/>
      <w:bookmarkEnd w:id="136"/>
      <w:r/>
      <w:bookmarkEnd w:id="137"/>
      <w:r>
        <w:rPr>
          <w:rFonts w:hint="eastAsia" w:ascii="宋体" w:hAnsi="宋体" w:cs="宋体"/>
          <w:color w:val="000000"/>
        </w:rPr>
        <w:t xml:space="preserve">的拒收</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20.1 采购中心拒绝接收在其规定的投标截止时间后上传的任何投标文件。</w:t>
      </w:r>
      <w:r/>
    </w:p>
    <w:p>
      <w:pPr>
        <w:pStyle w:val="800"/>
        <w:ind w:left="440"/>
        <w:jc w:val="both"/>
        <w:keepLines/>
        <w:keepNext/>
        <w:spacing w:beforeAutospacing="0" w:afterAutospacing="0" w:line="360" w:lineRule="auto"/>
        <w:rPr>
          <w:rFonts w:hint="eastAsia" w:ascii="宋体" w:hAnsi="宋体" w:cs="宋体"/>
        </w:rPr>
      </w:pPr>
      <w:r/>
      <w:bookmarkStart w:id="138" w:name="_Toc16938544"/>
      <w:r/>
      <w:bookmarkStart w:id="139" w:name="_Toc20823300"/>
      <w:r/>
      <w:bookmarkStart w:id="140" w:name="_Toc513029228"/>
      <w:r>
        <w:rPr>
          <w:rFonts w:hint="eastAsia" w:ascii="宋体" w:hAnsi="宋体" w:cs="宋体"/>
          <w:color w:val="000000"/>
        </w:rPr>
        <w:t xml:space="preserve">21、投标文件的撤回和修改</w:t>
      </w:r>
      <w:bookmarkEnd w:id="138"/>
      <w:r/>
      <w:bookmarkEnd w:id="139"/>
      <w:r/>
      <w:bookmarkEnd w:id="140"/>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21.1 投标文件的撤回</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21.1.1 电子投标文件的撤回</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投标人可在投标截止时间前，撤回其电子投标文件，具体操作方法见《操作手册》。</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21.1.2 投标人撤回电子投标文件，则认为其不再参与本项目投标活动。</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21.2 投标文件的修改</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21.2.1投标人可在投标截止时间前，对其电子投标文件进行修改，具体操作方法见《操作手册》。</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21.2.2 在投标截止时间之后，投标人不得对其电子投标文件作任何修改。</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21.3 在投标截止时间至招标文件中规定的投标有效期满之间的这段时间内，投标人不得撤回其投标。</w:t>
      </w:r>
      <w:r/>
    </w:p>
    <w:p>
      <w:pPr>
        <w:pStyle w:val="800"/>
        <w:ind w:left="440"/>
        <w:jc w:val="both"/>
        <w:keepLines/>
        <w:keepNext/>
        <w:spacing w:before="145" w:beforeAutospacing="0" w:after="145" w:afterAutospacing="0" w:line="360" w:lineRule="auto"/>
        <w:rPr>
          <w:rFonts w:hint="eastAsia" w:ascii="宋体" w:hAnsi="宋体" w:cs="宋体"/>
        </w:rPr>
      </w:pPr>
      <w:r/>
      <w:bookmarkStart w:id="141" w:name="_Toc120614218"/>
      <w:r/>
      <w:bookmarkStart w:id="142" w:name="_Toc513029229"/>
      <w:r/>
      <w:bookmarkStart w:id="143" w:name="_Toc20823301"/>
      <w:r/>
      <w:bookmarkStart w:id="144" w:name="_Toc16938545"/>
      <w:r>
        <w:rPr>
          <w:rFonts w:hint="eastAsia" w:ascii="宋体" w:hAnsi="宋体" w:cs="宋体"/>
          <w:b/>
          <w:color w:val="000000"/>
        </w:rPr>
        <w:t xml:space="preserve">五、开标与评标</w:t>
      </w:r>
      <w:bookmarkEnd w:id="141"/>
      <w:r/>
      <w:bookmarkEnd w:id="142"/>
      <w:r/>
      <w:bookmarkEnd w:id="143"/>
      <w:r/>
      <w:bookmarkEnd w:id="144"/>
      <w:r/>
      <w:r/>
    </w:p>
    <w:p>
      <w:pPr>
        <w:pStyle w:val="800"/>
        <w:ind w:left="440"/>
        <w:jc w:val="both"/>
        <w:keepLines/>
        <w:keepNext/>
        <w:spacing w:beforeAutospacing="0" w:afterAutospacing="0" w:line="360" w:lineRule="auto"/>
        <w:rPr>
          <w:rFonts w:hint="eastAsia" w:ascii="宋体" w:hAnsi="宋体" w:cs="宋体"/>
        </w:rPr>
      </w:pPr>
      <w:r/>
      <w:bookmarkStart w:id="145" w:name="_Toc20823302"/>
      <w:r/>
      <w:bookmarkStart w:id="146" w:name="_Toc16938546"/>
      <w:r/>
      <w:bookmarkStart w:id="147" w:name="_Toc513029230"/>
      <w:r>
        <w:rPr>
          <w:rFonts w:hint="eastAsia" w:ascii="宋体" w:hAnsi="宋体" w:cs="宋体"/>
          <w:color w:val="000000"/>
        </w:rPr>
        <w:t xml:space="preserve">22、开标</w:t>
      </w:r>
      <w:bookmarkEnd w:id="145"/>
      <w:r/>
      <w:bookmarkEnd w:id="146"/>
      <w:r/>
      <w:bookmarkEnd w:id="147"/>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22.1 采购中心将在招标公告中规定的时间和地点组织公开开标。投标人应当按照《操作手册》规定，参加开标活动</w:t>
      </w:r>
      <w:r>
        <w:rPr>
          <w:rFonts w:hint="eastAsia" w:ascii="宋体" w:hAnsi="宋体" w:cs="宋体"/>
        </w:rPr>
        <w:t xml:space="preserve">和在苏采云系统规定的时间内对投标文件进行解密。</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22.2开标仪式由采购中心组织。苏采云系统将自动对项目进行开标，并宣布各投标人名称和投标价格。</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22.3投标人在开标过程中涉及到的投标文件解密、开标结果确认等工作，应按照《操作手册》规定执行。</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22.4投标人如果对开标过程和开标记录有疑义，应当根据《操作手册》规定提出，如 苏采云系统中《开标记录表》宣布后5分钟内未提出的</w:t>
      </w:r>
      <w:r>
        <w:rPr>
          <w:rFonts w:hint="eastAsia" w:ascii="宋体" w:hAnsi="宋体" w:cs="宋体"/>
          <w:color w:val="000000"/>
        </w:rPr>
        <w:t xml:space="preserve">，视同认可开标结果。</w:t>
      </w:r>
      <w:r/>
    </w:p>
    <w:p>
      <w:pPr>
        <w:pStyle w:val="800"/>
        <w:ind w:left="440"/>
        <w:jc w:val="both"/>
        <w:keepLines/>
        <w:keepNext/>
        <w:spacing w:beforeAutospacing="0" w:afterAutospacing="0" w:line="360" w:lineRule="auto"/>
        <w:rPr>
          <w:rFonts w:hint="eastAsia" w:ascii="宋体" w:hAnsi="宋体" w:cs="宋体"/>
        </w:rPr>
      </w:pPr>
      <w:r/>
      <w:bookmarkStart w:id="148" w:name="_Toc20823303"/>
      <w:r/>
      <w:bookmarkStart w:id="149" w:name="_Toc513029231"/>
      <w:r/>
      <w:bookmarkStart w:id="150" w:name="_Toc16938547"/>
      <w:r>
        <w:rPr>
          <w:rFonts w:hint="eastAsia" w:ascii="宋体" w:hAnsi="宋体" w:cs="宋体"/>
          <w:color w:val="000000"/>
        </w:rPr>
        <w:t xml:space="preserve">23、评标委员会</w:t>
      </w:r>
      <w:bookmarkEnd w:id="148"/>
      <w:r/>
      <w:bookmarkEnd w:id="149"/>
      <w:r/>
      <w:bookmarkEnd w:id="150"/>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23.1</w:t>
      </w:r>
      <w:r>
        <w:rPr>
          <w:rFonts w:hint="eastAsia" w:ascii="宋体" w:hAnsi="宋体" w:cs="宋体"/>
          <w:b/>
          <w:color w:val="000000"/>
        </w:rPr>
        <w:t xml:space="preserve"> </w:t>
      </w:r>
      <w:r>
        <w:rPr>
          <w:rFonts w:hint="eastAsia" w:ascii="宋体" w:hAnsi="宋体" w:cs="宋体"/>
          <w:color w:val="000000"/>
        </w:rPr>
        <w:t xml:space="preserve">开标后，采购中心将立即组织评标委员会（以下简称评委会）进行评标。</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23.2 评委会由采购人代表和有关技术、经济等方面的专家组成，且人员构成符合政府采购有关规定。</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23.3评委会独立工作，负责评审所有投标文件并确定中标候选人。</w:t>
      </w:r>
      <w:r/>
    </w:p>
    <w:p>
      <w:pPr>
        <w:pStyle w:val="800"/>
        <w:ind w:left="440"/>
        <w:jc w:val="both"/>
        <w:keepLines/>
        <w:keepNext/>
        <w:spacing w:beforeAutospacing="0" w:afterAutospacing="0" w:line="360" w:lineRule="auto"/>
        <w:rPr>
          <w:rFonts w:hint="eastAsia" w:ascii="宋体" w:hAnsi="宋体" w:cs="宋体"/>
        </w:rPr>
      </w:pPr>
      <w:r>
        <w:rPr>
          <w:rFonts w:hint="eastAsia" w:ascii="宋体" w:hAnsi="宋体" w:cs="宋体"/>
          <w:color w:val="000000"/>
        </w:rPr>
        <w:t xml:space="preserve">24．评标过程的保密与公正</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24.1凡是与审查、澄清、评价和比较投标的有关资料以及授标建议等，采购人、评委、采购中心均不得向投标人或与评标无关的其他人员透露。</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24.2在评标过程中，投标人不得以任何行为影响评标过程，否则其投标文件将被作为无效投标文件。</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24.3 采购中心和评标委员会不向未中标的投标人解释未中标原因，也不公布评标过程中的相关</w:t>
      </w:r>
      <w:r>
        <w:rPr>
          <w:rFonts w:hint="eastAsia" w:ascii="宋体" w:hAnsi="宋体" w:cs="宋体"/>
        </w:rPr>
        <w:t xml:space="preserve">细节。</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24.4 采用综合评分法的项目，未中标的投标人可于中标结果公告期限届满之日起通过苏采云系统查看自己的评审得分及</w:t>
      </w:r>
      <w:r>
        <w:rPr>
          <w:rFonts w:hint="eastAsia" w:ascii="宋体" w:hAnsi="宋体" w:cs="宋体"/>
          <w:color w:val="000000"/>
        </w:rPr>
        <w:t xml:space="preserve">排序情况。</w:t>
      </w:r>
      <w:r/>
    </w:p>
    <w:p>
      <w:pPr>
        <w:pStyle w:val="800"/>
        <w:ind w:left="440"/>
        <w:jc w:val="both"/>
        <w:keepLines/>
        <w:keepNext/>
        <w:spacing w:beforeAutospacing="0" w:afterAutospacing="0" w:line="360" w:lineRule="auto"/>
        <w:rPr>
          <w:rFonts w:hint="eastAsia" w:ascii="宋体" w:hAnsi="宋体" w:cs="宋体"/>
        </w:rPr>
      </w:pPr>
      <w:r/>
      <w:bookmarkStart w:id="151" w:name="_Toc513029232"/>
      <w:r/>
      <w:bookmarkStart w:id="152" w:name="_Toc20823304"/>
      <w:r/>
      <w:bookmarkStart w:id="153" w:name="_Toc16938548"/>
      <w:r>
        <w:rPr>
          <w:rFonts w:hint="eastAsia" w:ascii="宋体" w:hAnsi="宋体" w:cs="宋体"/>
          <w:color w:val="000000"/>
        </w:rPr>
        <w:t xml:space="preserve">25．投标文件的澄清</w:t>
      </w:r>
      <w:bookmarkEnd w:id="151"/>
      <w:r/>
      <w:bookmarkEnd w:id="152"/>
      <w:r/>
      <w:bookmarkEnd w:id="153"/>
      <w:r/>
      <w:r/>
    </w:p>
    <w:p>
      <w:pPr>
        <w:pStyle w:val="800"/>
        <w:ind w:firstLine="480"/>
        <w:jc w:val="both"/>
        <w:spacing w:beforeAutospacing="0" w:afterAutospacing="0" w:line="360" w:lineRule="auto"/>
        <w:rPr>
          <w:rFonts w:hint="eastAsia" w:ascii="宋体" w:hAnsi="宋体" w:cs="宋体"/>
        </w:rPr>
      </w:pPr>
      <w:r/>
      <w:bookmarkStart w:id="154" w:name="_Toc513029233"/>
      <w:r/>
      <w:bookmarkStart w:id="155" w:name="_Toc16938549"/>
      <w:r/>
      <w:bookmarkStart w:id="156" w:name="_Toc20823305"/>
      <w:r>
        <w:rPr>
          <w:rFonts w:hint="eastAsia" w:ascii="宋体" w:hAnsi="宋体" w:cs="宋体"/>
          <w:color w:val="000000"/>
        </w:rPr>
        <w:t xml:space="preserve">25.1评标期间，评委会对投标文件中含义不明确、同类问题表述不一致或者有明显文字和计算错误的内容 ，有权要求投标人作出必要的澄清、说明或者补正。</w:t>
      </w:r>
      <w:bookmarkEnd w:id="154"/>
      <w:r/>
      <w:bookmarkEnd w:id="155"/>
      <w:r/>
      <w:bookmarkEnd w:id="156"/>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投标人的澄清、说明或者补正不得超出投标文件的范围或者改变投标文件的实质性内容。</w:t>
      </w:r>
      <w:r/>
    </w:p>
    <w:p>
      <w:pPr>
        <w:pStyle w:val="800"/>
        <w:jc w:val="both"/>
        <w:spacing w:beforeAutospacing="0" w:afterAutospacing="0" w:line="360" w:lineRule="auto"/>
        <w:rPr>
          <w:rFonts w:hint="eastAsia" w:ascii="宋体" w:hAnsi="宋体" w:cs="宋体"/>
        </w:rPr>
      </w:pPr>
      <w:r>
        <w:rPr>
          <w:rFonts w:hint="eastAsia" w:ascii="宋体" w:hAnsi="宋体" w:cs="宋体"/>
          <w:color w:val="000000"/>
        </w:rPr>
        <w:t xml:space="preserve">评标委员会并非对每个投标人都做澄清要求。</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00"/>
        <w:jc w:val="both"/>
        <w:spacing w:beforeAutospacing="0" w:afterAutospacing="0" w:line="360" w:lineRule="auto"/>
        <w:rPr>
          <w:rFonts w:hint="eastAsia" w:ascii="宋体" w:hAnsi="宋体" w:cs="宋体"/>
        </w:rPr>
      </w:pPr>
      <w:r>
        <w:rPr>
          <w:rFonts w:hint="eastAsia" w:ascii="宋体" w:hAnsi="宋体" w:cs="宋体"/>
        </w:rPr>
        <w:t xml:space="preserve">25.3 接到评委会澄清、说明和补正要求的投标人如未按规定作出澄清、</w:t>
      </w:r>
      <w:r>
        <w:rPr>
          <w:rFonts w:hint="eastAsia" w:ascii="宋体" w:hAnsi="宋体" w:cs="宋体"/>
          <w:color w:val="000000"/>
        </w:rPr>
        <w:t xml:space="preserve">说明和补正，其风险由投标人自行承担。</w:t>
      </w:r>
      <w:r/>
    </w:p>
    <w:p>
      <w:pPr>
        <w:pStyle w:val="800"/>
        <w:ind w:firstLine="420"/>
        <w:jc w:val="both"/>
        <w:keepLines/>
        <w:keepNext/>
        <w:spacing w:beforeAutospacing="0" w:afterAutospacing="0" w:line="360" w:lineRule="auto"/>
        <w:rPr>
          <w:rFonts w:hint="eastAsia" w:ascii="宋体" w:hAnsi="宋体" w:cs="宋体"/>
        </w:rPr>
      </w:pPr>
      <w:r>
        <w:rPr>
          <w:rFonts w:hint="eastAsia" w:ascii="宋体" w:hAnsi="宋体" w:cs="宋体"/>
          <w:color w:val="000000"/>
        </w:rPr>
        <w:t xml:space="preserve">26、对投标文件的初审</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26.1投标文件初审分为资格审查和符合性审查。</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采购人在进行资格性审查的同时，将在“信用中国”网站（www.creditchina.gov.cn）查询投标人的信用记录，以确定投标人是否具备投标资格,查询结果留存并归档。</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26.1.3 未通过资格审查或符合性审查的投标人，采购中心将</w:t>
      </w:r>
      <w:r>
        <w:rPr>
          <w:rFonts w:hint="eastAsia" w:ascii="宋体" w:hAnsi="宋体" w:cs="宋体"/>
        </w:rPr>
        <w:t xml:space="preserve">在苏采云系统中告知未通过资格审查或符合性审查的原因，评审结束后，采购中心将不再告知未通过资格审查或符合性审查的原因。</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26.4评委会将对确定为实质性响应的投标进行进一步审核，看其是否有计算上或累加上的算术错误，修正错误的原则如下：</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（1）投标文件中开标一览表内容与投标文件中相应内容不一致的，以开标一览表为准。</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（2）大写金额和小写金额不一致的，以大写金额为准。</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（3）单价金额小数点或者百分比有明显错位的，以开标一览表的总价为准，并修改单价。</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（4）总价金额与按单价汇总金额不一致的，以单价金额计算结果为准。</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同时出现两种以上错误的，按照前款规定的顺序修正。</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00"/>
        <w:ind w:firstLine="480"/>
        <w:jc w:val="both"/>
        <w:spacing w:beforeAutospacing="0" w:afterAutospacing="0" w:line="360" w:lineRule="auto"/>
        <w:rPr>
          <w:rFonts w:hint="eastAsia" w:ascii="宋体" w:hAnsi="宋体" w:cs="宋体"/>
        </w:rPr>
      </w:pPr>
      <w:r/>
      <w:bookmarkStart w:id="157" w:name="_Toc513029234"/>
      <w:r/>
      <w:bookmarkStart w:id="158" w:name="_Toc16938550"/>
      <w:r/>
      <w:bookmarkStart w:id="159" w:name="_Toc20823306"/>
      <w:r>
        <w:rPr>
          <w:rFonts w:hint="eastAsia" w:ascii="宋体" w:hAnsi="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7"/>
      <w:r/>
      <w:bookmarkEnd w:id="158"/>
      <w:r/>
      <w:bookmarkEnd w:id="159"/>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00"/>
        <w:ind w:firstLine="420"/>
        <w:jc w:val="both"/>
        <w:spacing w:beforeAutospacing="0" w:afterAutospacing="0" w:line="360" w:lineRule="auto"/>
        <w:rPr>
          <w:rFonts w:hint="eastAsia" w:ascii="宋体" w:hAnsi="宋体" w:cs="宋体"/>
        </w:rPr>
      </w:pPr>
      <w:r>
        <w:rPr>
          <w:rFonts w:hint="eastAsia" w:ascii="宋体" w:hAnsi="宋体" w:cs="宋体"/>
          <w:color w:val="000000"/>
        </w:rPr>
        <w:t xml:space="preserve">非单一产品采购项目，招标文件中将载明其中的核心产品。多家投标人提供的核心产品品牌相同的，按前两款规定处理。</w:t>
      </w:r>
      <w:r/>
    </w:p>
    <w:p>
      <w:pPr>
        <w:pStyle w:val="800"/>
        <w:ind w:firstLine="420"/>
        <w:jc w:val="both"/>
        <w:spacing w:beforeAutospacing="0" w:afterAutospacing="0" w:line="360" w:lineRule="auto"/>
        <w:rPr>
          <w:rFonts w:hint="eastAsia" w:ascii="宋体" w:hAnsi="宋体" w:cs="宋体"/>
        </w:rPr>
      </w:pPr>
      <w:r>
        <w:rPr>
          <w:rFonts w:hint="eastAsia" w:ascii="宋体" w:hAnsi="宋体" w:cs="宋体"/>
        </w:rPr>
        <w:t xml:space="preserve">26.7投标人在开、评标全过程中应保持通信畅通，及时登录苏采云系统查阅、答复相关信息，并安排专人与采购中心及评标委员会联系。</w:t>
      </w:r>
      <w:r/>
    </w:p>
    <w:p>
      <w:pPr>
        <w:pStyle w:val="800"/>
        <w:ind w:firstLine="420"/>
        <w:jc w:val="both"/>
        <w:keepLines/>
        <w:keepNext/>
        <w:spacing w:beforeAutospacing="0" w:afterAutospacing="0" w:line="360" w:lineRule="auto"/>
        <w:rPr>
          <w:rFonts w:hint="eastAsia" w:ascii="宋体" w:hAnsi="宋体" w:cs="宋体"/>
        </w:rPr>
      </w:pPr>
      <w:r>
        <w:rPr>
          <w:rFonts w:hint="eastAsia" w:ascii="宋体" w:hAnsi="宋体" w:cs="宋体"/>
        </w:rPr>
        <w:t xml:space="preserve">27、无效投标条款和废标条款</w:t>
      </w:r>
      <w:r/>
    </w:p>
    <w:p>
      <w:pPr>
        <w:pStyle w:val="800"/>
        <w:ind w:left="479"/>
        <w:jc w:val="both"/>
        <w:spacing w:beforeAutospacing="0" w:afterAutospacing="0" w:line="360" w:lineRule="auto"/>
        <w:rPr>
          <w:rFonts w:hint="eastAsia" w:ascii="宋体" w:hAnsi="宋体" w:cs="宋体"/>
        </w:rPr>
      </w:pPr>
      <w:r/>
      <w:bookmarkStart w:id="160" w:name="_Toc16938551"/>
      <w:r/>
      <w:bookmarkStart w:id="161" w:name="_Toc20823307"/>
      <w:r/>
      <w:bookmarkStart w:id="162" w:name="_Toc513029235"/>
      <w:r>
        <w:rPr>
          <w:rFonts w:hint="eastAsia" w:ascii="宋体" w:hAnsi="宋体" w:cs="宋体"/>
        </w:rPr>
        <w:t xml:space="preserve">27.1无效投标条款</w:t>
      </w:r>
      <w:bookmarkEnd w:id="160"/>
      <w:r/>
      <w:bookmarkEnd w:id="161"/>
      <w:r/>
      <w:bookmarkEnd w:id="162"/>
      <w:r/>
      <w:r/>
    </w:p>
    <w:p>
      <w:pPr>
        <w:pStyle w:val="800"/>
        <w:ind w:left="440"/>
        <w:jc w:val="both"/>
        <w:spacing w:beforeAutospacing="0" w:afterAutospacing="0" w:line="360" w:lineRule="auto"/>
        <w:rPr>
          <w:rFonts w:hint="eastAsia" w:ascii="宋体" w:hAnsi="宋体" w:cs="宋体"/>
        </w:rPr>
      </w:pPr>
      <w:r>
        <w:rPr>
          <w:rFonts w:hint="eastAsia" w:ascii="宋体" w:hAnsi="宋体" w:cs="宋体"/>
        </w:rPr>
        <w:t xml:space="preserve">27.1.1 投标人在苏采云系统规定的时间内未成功解密电子投标文件的。</w:t>
      </w:r>
      <w:r/>
    </w:p>
    <w:p>
      <w:pPr>
        <w:pStyle w:val="800"/>
        <w:ind w:left="440"/>
        <w:jc w:val="both"/>
        <w:spacing w:beforeAutospacing="0" w:afterAutospacing="0" w:line="360" w:lineRule="auto"/>
        <w:rPr>
          <w:rFonts w:hint="eastAsia" w:ascii="宋体" w:hAnsi="宋体" w:cs="宋体"/>
        </w:rPr>
      </w:pPr>
      <w:r>
        <w:rPr>
          <w:rFonts w:hint="eastAsia" w:ascii="宋体" w:hAnsi="宋体" w:cs="宋体"/>
        </w:rPr>
        <w:t xml:space="preserve">27.1.2 投标人未按照招标文件要求上传电子投标文件的。</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27.1.3同一投标人提交两个（含两个）以上不同的投标报价的。</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27.1.4投标人不具备招标文件中规定资格要求的。</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27.1.5投标人的报价超过了采购预算或最高限价的。</w:t>
      </w:r>
      <w:r/>
    </w:p>
    <w:p>
      <w:pPr>
        <w:pStyle w:val="800"/>
        <w:ind w:left="44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27.1.6未通过符合性审查的。</w:t>
      </w:r>
      <w:r/>
    </w:p>
    <w:p>
      <w:pPr>
        <w:pStyle w:val="800"/>
        <w:ind w:left="44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27.1.7技术参数中除“</w:t>
      </w:r>
      <w:r>
        <w:rPr>
          <w:rFonts w:hint="eastAsia" w:ascii="微软雅黑" w:hAnsi="微软雅黑" w:eastAsia="微软雅黑" w:cs="微软雅黑"/>
          <w:color w:val="000000"/>
          <w:sz w:val="20"/>
          <w:szCs w:val="20"/>
          <w:lang w:bidi="ar"/>
        </w:rPr>
        <w:t xml:space="preserve">▲</w:t>
      </w:r>
      <w:r>
        <w:rPr>
          <w:rFonts w:hint="eastAsia" w:ascii="宋体" w:hAnsi="宋体" w:cs="宋体"/>
          <w:color w:val="000000"/>
        </w:rPr>
        <w:t xml:space="preserve">”标识外的其他参数负偏离的。</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27.1.8不符合招标文件中规定的实质性要求和条件的。</w:t>
      </w:r>
      <w:r/>
    </w:p>
    <w:p>
      <w:pPr>
        <w:pStyle w:val="800"/>
        <w:ind w:left="440"/>
        <w:jc w:val="both"/>
        <w:spacing w:beforeAutospacing="0" w:afterAutospacing="0" w:line="360" w:lineRule="auto"/>
        <w:rPr>
          <w:rFonts w:hint="eastAsia" w:ascii="宋体" w:hAnsi="宋体" w:cs="宋体"/>
        </w:rPr>
      </w:pPr>
      <w:r>
        <w:rPr>
          <w:rFonts w:hint="eastAsia" w:ascii="宋体" w:hAnsi="宋体" w:cs="宋体"/>
          <w:color w:val="000000"/>
        </w:rPr>
        <w:t xml:space="preserve">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27.1.9  投标文件含有采购人不能接受的附加条件的。</w:t>
      </w:r>
      <w:r/>
    </w:p>
    <w:p>
      <w:pPr>
        <w:pStyle w:val="800"/>
        <w:ind w:left="44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27.1.10投标人不能证明其报价合理性的，评标委员会应当将其作为无效投标处理。</w:t>
      </w:r>
      <w:r/>
    </w:p>
    <w:p>
      <w:pPr>
        <w:pStyle w:val="800"/>
        <w:ind w:left="44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（一）评审过程中出现下列情形之一的，评标委员会应当启动异常低价投标审查程序：</w:t>
      </w:r>
      <w:r/>
    </w:p>
    <w:p>
      <w:pPr>
        <w:pStyle w:val="800"/>
        <w:ind w:left="44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1.投标报价低于采购项目预算50%的，即投标报价&lt;采购项目预算×50%；</w:t>
      </w:r>
      <w:r/>
    </w:p>
    <w:p>
      <w:pPr>
        <w:pStyle w:val="800"/>
        <w:ind w:left="44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2.投标报价低于采购项目最高限价45%的，即投标报价&lt;采购项目最高限价×45%；</w:t>
      </w:r>
      <w:r/>
    </w:p>
    <w:p>
      <w:pPr>
        <w:pStyle w:val="800"/>
        <w:ind w:left="44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3.评标委员会认定的供应商报价过低、有可能影响产品质量或者不能诚信履约的其他情形。</w:t>
      </w:r>
      <w:r/>
    </w:p>
    <w:p>
      <w:pPr>
        <w:pStyle w:val="800"/>
        <w:ind w:left="440"/>
        <w:jc w:val="both"/>
        <w:spacing w:beforeAutospacing="0" w:afterAutospacing="0" w:line="360" w:lineRule="auto"/>
        <w:rPr>
          <w:rFonts w:hint="eastAsia" w:ascii="宋体" w:hAnsi="宋体" w:cs="宋体"/>
          <w:color w:val="000000"/>
        </w:rPr>
      </w:pPr>
      <w:r>
        <w:rPr>
          <w:rFonts w:hint="eastAsia" w:ascii="宋体" w:hAnsi="宋体" w:cs="宋体"/>
          <w:color w:val="00000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27.1.12 投标文件未按照招标文件要求加盖CA电子公章的。</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27.1.13其他法律、法规及本招标文件规定的属无效投标的情形。</w:t>
      </w:r>
      <w:r/>
    </w:p>
    <w:p>
      <w:pPr>
        <w:pStyle w:val="800"/>
        <w:ind w:left="479"/>
        <w:jc w:val="both"/>
        <w:spacing w:beforeAutospacing="0" w:afterAutospacing="0" w:line="360" w:lineRule="auto"/>
        <w:rPr>
          <w:rFonts w:hint="eastAsia" w:ascii="宋体" w:hAnsi="宋体" w:cs="宋体"/>
        </w:rPr>
      </w:pPr>
      <w:r>
        <w:rPr>
          <w:rFonts w:hint="eastAsia" w:ascii="宋体" w:hAnsi="宋体" w:cs="宋体"/>
        </w:rPr>
        <w:t xml:space="preserve">27.2废标条款</w:t>
      </w:r>
      <w:r/>
    </w:p>
    <w:p>
      <w:pPr>
        <w:pStyle w:val="800"/>
        <w:ind w:left="479"/>
        <w:jc w:val="both"/>
        <w:spacing w:beforeAutospacing="0" w:afterAutospacing="0" w:line="360" w:lineRule="auto"/>
        <w:rPr>
          <w:rFonts w:hint="eastAsia" w:ascii="宋体" w:hAnsi="宋体" w:cs="宋体"/>
        </w:rPr>
      </w:pPr>
      <w:r>
        <w:rPr>
          <w:rFonts w:hint="eastAsia" w:ascii="宋体" w:hAnsi="宋体" w:cs="宋体"/>
        </w:rPr>
        <w:t xml:space="preserve">27.2.1符合专业条件的供应商或者对招标文件作实质响应的供应商不足三家的。27.2.2出现影响采购公正的违法、违规行为的。</w:t>
      </w:r>
      <w:r/>
    </w:p>
    <w:p>
      <w:pPr>
        <w:pStyle w:val="800"/>
        <w:ind w:left="479"/>
        <w:jc w:val="both"/>
        <w:spacing w:beforeAutospacing="0" w:afterAutospacing="0" w:line="360" w:lineRule="auto"/>
        <w:rPr>
          <w:rFonts w:hint="eastAsia" w:ascii="宋体" w:hAnsi="宋体" w:cs="宋体"/>
        </w:rPr>
      </w:pPr>
      <w:r>
        <w:rPr>
          <w:rFonts w:hint="eastAsia" w:ascii="宋体" w:hAnsi="宋体" w:cs="宋体"/>
        </w:rPr>
        <w:t xml:space="preserve">27.2.3因重大变故，采购任务取消的。</w:t>
      </w:r>
      <w:r/>
    </w:p>
    <w:p>
      <w:pPr>
        <w:pStyle w:val="800"/>
        <w:ind w:left="479"/>
        <w:jc w:val="both"/>
        <w:spacing w:beforeAutospacing="0" w:afterAutospacing="0" w:line="360" w:lineRule="auto"/>
        <w:rPr>
          <w:rFonts w:hint="eastAsia" w:ascii="宋体" w:hAnsi="宋体" w:cs="宋体"/>
        </w:rPr>
      </w:pPr>
      <w:r>
        <w:rPr>
          <w:rFonts w:hint="eastAsia" w:ascii="宋体" w:hAnsi="宋体" w:cs="宋体"/>
        </w:rPr>
        <w:t xml:space="preserve">27.2.4评标委员会认定招标文件存在歧义、重大缺陷导致评审工作无法进行。</w:t>
      </w:r>
      <w:r/>
    </w:p>
    <w:p>
      <w:pPr>
        <w:pStyle w:val="800"/>
        <w:ind w:left="479"/>
        <w:jc w:val="both"/>
        <w:spacing w:beforeAutospacing="0" w:afterAutospacing="0" w:line="360" w:lineRule="auto"/>
        <w:rPr>
          <w:rFonts w:hint="eastAsia" w:ascii="宋体" w:hAnsi="宋体" w:cs="宋体"/>
        </w:rPr>
      </w:pPr>
      <w:r>
        <w:rPr>
          <w:rFonts w:hint="eastAsia" w:ascii="宋体" w:hAnsi="宋体" w:cs="宋体"/>
        </w:rPr>
        <w:t xml:space="preserve">27.2.5 因苏采云系统故障原因造成开标不成功的。</w:t>
      </w:r>
      <w:r/>
    </w:p>
    <w:p>
      <w:pPr>
        <w:pStyle w:val="800"/>
        <w:ind w:left="479"/>
        <w:jc w:val="both"/>
        <w:spacing w:beforeAutospacing="0" w:afterAutospacing="0" w:line="360" w:lineRule="auto"/>
        <w:rPr>
          <w:rFonts w:hint="eastAsia" w:ascii="宋体" w:hAnsi="宋体" w:cs="宋体"/>
        </w:rPr>
      </w:pPr>
      <w:r>
        <w:rPr>
          <w:rFonts w:hint="eastAsia" w:ascii="宋体" w:hAnsi="宋体" w:cs="宋体"/>
        </w:rPr>
        <w:t xml:space="preserve">27.3 投标截止时间结束后参加投标的供应商不足三家的处理：</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27.3.1如出现投标截止时间结束后参加投标的供应商或者</w:t>
      </w:r>
      <w:r>
        <w:rPr>
          <w:rFonts w:hint="eastAsia" w:ascii="宋体" w:hAnsi="宋体" w:cs="宋体"/>
          <w:color w:val="000000"/>
        </w:rPr>
        <w:t xml:space="preserve">在评标期间对招标文件做出实质响应的供应商不足三家情况，按政府采购相关规定执行。</w:t>
      </w:r>
      <w:r/>
    </w:p>
    <w:p>
      <w:pPr>
        <w:pStyle w:val="800"/>
        <w:ind w:firstLine="482"/>
        <w:jc w:val="both"/>
        <w:keepLines/>
        <w:keepNext/>
        <w:spacing w:before="145" w:beforeAutospacing="0" w:after="145" w:afterAutospacing="0" w:line="360" w:lineRule="auto"/>
        <w:rPr>
          <w:rFonts w:hint="eastAsia" w:ascii="宋体" w:hAnsi="宋体" w:cs="宋体"/>
        </w:rPr>
      </w:pPr>
      <w:r/>
      <w:bookmarkStart w:id="163" w:name="_Toc120614219"/>
      <w:r>
        <w:rPr>
          <w:rFonts w:hint="eastAsia" w:ascii="宋体" w:hAnsi="宋体" w:cs="宋体"/>
          <w:b/>
          <w:color w:val="000000"/>
        </w:rPr>
        <w:t xml:space="preserve">六、定标</w:t>
      </w:r>
      <w:bookmarkEnd w:id="163"/>
      <w:r/>
      <w:r/>
    </w:p>
    <w:p>
      <w:pPr>
        <w:pStyle w:val="800"/>
        <w:ind w:firstLine="600"/>
        <w:jc w:val="both"/>
        <w:keepLines/>
        <w:keepNext/>
        <w:spacing w:beforeAutospacing="0" w:afterAutospacing="0" w:line="360" w:lineRule="auto"/>
        <w:rPr>
          <w:rFonts w:hint="eastAsia" w:ascii="宋体" w:hAnsi="宋体" w:cs="宋体"/>
        </w:rPr>
      </w:pPr>
      <w:r/>
      <w:bookmarkStart w:id="164" w:name="_Toc20823310"/>
      <w:r/>
      <w:bookmarkStart w:id="165" w:name="_Toc16938554"/>
      <w:r/>
      <w:bookmarkStart w:id="166" w:name="_Toc513029238"/>
      <w:r>
        <w:rPr>
          <w:rFonts w:hint="eastAsia" w:ascii="宋体" w:hAnsi="宋体" w:cs="宋体"/>
          <w:color w:val="000000"/>
        </w:rPr>
        <w:t xml:space="preserve">28、</w:t>
      </w:r>
      <w:bookmarkEnd w:id="164"/>
      <w:r>
        <w:rPr>
          <w:rFonts w:hint="eastAsia" w:ascii="宋体" w:hAnsi="宋体" w:cs="宋体"/>
          <w:color w:val="000000"/>
        </w:rPr>
        <w:t xml:space="preserve">确定</w:t>
      </w:r>
      <w:bookmarkEnd w:id="165"/>
      <w:r/>
      <w:bookmarkEnd w:id="166"/>
      <w:r>
        <w:rPr>
          <w:rFonts w:hint="eastAsia" w:ascii="宋体" w:hAnsi="宋体" w:cs="宋体"/>
          <w:color w:val="000000"/>
        </w:rPr>
        <w:t xml:space="preserve">中标单位</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28.1中标候选人的选取原则和数量见招标文件第五章规定。 </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28.2 采购人应根据评委会推荐的中标候选人确定中标人。</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28.3 采购中心将在中国政府采购网”“江苏政府采购网”“盐城市政府采购网</w:t>
      </w:r>
      <w:r>
        <w:rPr>
          <w:rFonts w:hint="eastAsia" w:ascii="宋体" w:hAnsi="宋体" w:cs="宋体"/>
          <w:color w:val="333333"/>
          <w:shd w:val="clear" w:color="auto" w:fill="ffffff"/>
        </w:rPr>
        <w:t xml:space="preserve">”</w:t>
      </w:r>
      <w:r>
        <w:rPr>
          <w:rFonts w:hint="eastAsia" w:ascii="宋体" w:hAnsi="宋体" w:cs="宋体"/>
          <w:color w:val="000000"/>
        </w:rPr>
        <w:t xml:space="preserve">发布中标公告，公告期限为1个工作日。</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28.4  若有充分证据证明，中标人出现下列情况之一的，一经查实，将被取消中标资格：</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28.4.1提供虚假材料谋取中标的。</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28.4.2向采购人、采购中心行贿或者提供其他不正当利益的。</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28.4.3属于本文件规定的无效条件，但在评标过程中又未被评委会发现的。</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28.4.4与采购人或者其他供应商恶意串通的。</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28.4.5采取不正当手段诋毁、排挤其他供应商的。</w:t>
      </w:r>
      <w:r/>
    </w:p>
    <w:p>
      <w:pPr>
        <w:pStyle w:val="800"/>
        <w:ind w:firstLine="480"/>
        <w:jc w:val="both"/>
        <w:spacing w:beforeAutospacing="0" w:afterAutospacing="0" w:line="360" w:lineRule="auto"/>
        <w:rPr>
          <w:rFonts w:hint="eastAsia" w:ascii="宋体" w:hAnsi="宋体" w:cs="宋体"/>
        </w:rPr>
      </w:pPr>
      <w:r/>
      <w:bookmarkStart w:id="167" w:name="_Toc200451960"/>
      <w:r>
        <w:rPr>
          <w:rFonts w:hint="eastAsia" w:ascii="宋体" w:hAnsi="宋体" w:cs="宋体"/>
          <w:color w:val="000000"/>
        </w:rPr>
        <w:t xml:space="preserve">28.5. 有下列情形之一的，视为投标人串通投标，投标无效：</w:t>
      </w:r>
      <w:bookmarkEnd w:id="167"/>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28.5.1不同投标人的投标文件由同一单位或者个人编制；</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28.5.2不同投标人委托同一单位或者个人办理投标事宜；</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28.5.3 不同投标人的投标文件载明的项目管理成员或者联系人员为同一人；</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28.5.4不同投标人的投标文件异常一致或者投标报价呈规律性差异；</w:t>
      </w:r>
      <w:r/>
    </w:p>
    <w:p>
      <w:pPr>
        <w:pStyle w:val="800"/>
        <w:ind w:firstLine="600"/>
        <w:jc w:val="both"/>
        <w:keepLines/>
        <w:keepNext/>
        <w:spacing w:beforeAutospacing="0" w:afterAutospacing="0" w:line="360" w:lineRule="auto"/>
        <w:rPr>
          <w:rFonts w:hint="eastAsia" w:ascii="宋体" w:hAnsi="宋体" w:cs="宋体"/>
        </w:rPr>
      </w:pPr>
      <w:r>
        <w:rPr>
          <w:rFonts w:hint="eastAsia" w:ascii="宋体" w:hAnsi="宋体" w:cs="宋体"/>
          <w:color w:val="000000"/>
        </w:rPr>
        <w:t xml:space="preserve">29、质疑处理</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29.1 提出质疑的供应商应当是参与所质疑项目采购活动的供应商。潜在供应商依法获取其可质疑的采购文件的，可以对采购文件提出质疑。</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29.2.1对可以质疑的采购文件提出质疑的，为收到采购文件之日或者采购文件公告期限届满之日；</w:t>
      </w:r>
      <w:r>
        <w:rPr>
          <w:rFonts w:hint="eastAsia" w:ascii="宋体" w:hAnsi="宋体" w:cs="宋体"/>
          <w:color w:val="000000"/>
        </w:rPr>
        <w:br/>
      </w:r>
      <w:r>
        <w:rPr>
          <w:rFonts w:hint="eastAsia" w:ascii="宋体" w:hAnsi="宋体" w:cs="宋体"/>
          <w:color w:val="000000"/>
        </w:rPr>
        <w:t xml:space="preserve">   29.2.2对采购过程提出质疑的，为各采购程序环节结束之日；</w:t>
      </w:r>
      <w:r>
        <w:rPr>
          <w:rFonts w:hint="eastAsia" w:ascii="宋体" w:hAnsi="宋体" w:cs="宋体"/>
          <w:color w:val="000000"/>
        </w:rPr>
        <w:br/>
      </w:r>
      <w:r>
        <w:rPr>
          <w:rFonts w:hint="eastAsia" w:ascii="宋体" w:hAnsi="宋体" w:cs="宋体"/>
          <w:color w:val="000000"/>
        </w:rPr>
        <w:t xml:space="preserve">   29.2.3对中标或者成交结果提出质疑的，为中标或者成交结果公告期限届满之日。</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00"/>
        <w:ind w:firstLine="480"/>
        <w:jc w:val="both"/>
        <w:spacing w:beforeAutospacing="0" w:afterAutospacing="0" w:line="360" w:lineRule="auto"/>
        <w:rPr>
          <w:rFonts w:hint="eastAsia" w:ascii="宋体" w:hAnsi="宋体" w:cs="宋体"/>
          <w:b/>
          <w:bCs/>
        </w:rPr>
      </w:pPr>
      <w:r>
        <w:rPr>
          <w:rFonts w:hint="eastAsia" w:ascii="宋体" w:hAnsi="宋体" w:cs="宋体"/>
          <w:b/>
          <w:bCs/>
          <w:color w:val="000000"/>
        </w:rPr>
        <w:t xml:space="preserve">29.4 供应</w:t>
      </w:r>
      <w:r>
        <w:rPr>
          <w:rFonts w:hint="eastAsia" w:ascii="宋体" w:hAnsi="宋体" w:cs="宋体"/>
          <w:b/>
          <w:bCs/>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482"/>
        <w:jc w:val="both"/>
        <w:spacing w:after="0" w:line="360" w:lineRule="auto"/>
        <w:shd w:val="clear" w:color="auto" w:fill="ffffff"/>
        <w:widowControl/>
        <w:rPr>
          <w:rFonts w:hint="eastAsia" w:ascii="宋体" w:hAnsi="宋体" w:eastAsia="宋体" w:cs="宋体"/>
          <w:color w:val="000000"/>
          <w:sz w:val="24"/>
          <w14:ligatures w14:val="none"/>
        </w:rPr>
      </w:pPr>
      <w:r>
        <w:rPr>
          <w:rFonts w:hint="eastAsia" w:ascii="宋体" w:hAnsi="宋体" w:eastAsia="宋体" w:cs="宋体"/>
          <w:b/>
          <w:bCs/>
          <w:sz w:val="24"/>
        </w:rPr>
        <w:t xml:space="preserve">采购人及采购中心只接收以纸质原件形式送达的质疑,采购人和采购中心不接受未填写快递运单的快件。质疑接收部门为</w:t>
      </w:r>
      <w:r>
        <w:rPr>
          <w:rFonts w:hint="eastAsia" w:ascii="宋体" w:hAnsi="宋体" w:cs="宋体"/>
          <w:b/>
          <w:bCs/>
          <w:sz w:val="24"/>
        </w:rPr>
        <w:t xml:space="preserve">：</w:t>
      </w:r>
      <w:r>
        <w:rPr>
          <w:rFonts w:hint="eastAsia" w:ascii="宋体" w:hAnsi="宋体" w:eastAsia="宋体" w:cs="宋体"/>
          <w:b/>
          <w:bCs/>
          <w:color w:val="000000"/>
          <w:sz w:val="24"/>
          <w14:ligatures w14:val="none"/>
        </w:rPr>
        <w:t xml:space="preserve">1.采购人信息：响水县教育局，地址：响水县黄海路98号，联系人：胡雪，联系方式：0515-86880337；2.采购代理机构信息：响水县公共资源交易中心（响水县政府采购中心），地 址：响水县灌江东路1号，联系人：周先生 联系方式：0515-86782009。 </w:t>
      </w:r>
      <w:r/>
    </w:p>
    <w:p>
      <w:pPr>
        <w:ind w:firstLine="240"/>
        <w:jc w:val="both"/>
        <w:spacing w:after="0" w:line="360" w:lineRule="auto"/>
        <w:shd w:val="clear" w:color="auto" w:fill="ffffff"/>
        <w:widowControl/>
        <w:rPr>
          <w:rFonts w:hint="eastAsia" w:ascii="宋体" w:hAnsi="宋体" w:eastAsia="宋体" w:cs="宋体"/>
          <w:sz w:val="24"/>
        </w:rPr>
      </w:pPr>
      <w:r>
        <w:rPr>
          <w:rFonts w:hint="eastAsia" w:ascii="宋体" w:hAnsi="宋体" w:eastAsia="宋体" w:cs="宋体"/>
          <w:color w:val="000000"/>
          <w:sz w:val="24"/>
          <w14:ligatures w14:val="none"/>
        </w:rPr>
        <w:t xml:space="preserve"> </w:t>
      </w:r>
      <w:r>
        <w:rPr>
          <w:rFonts w:hint="eastAsia" w:ascii="宋体" w:hAnsi="宋体" w:eastAsia="宋体" w:cs="宋体"/>
          <w:color w:val="000000"/>
          <w:sz w:val="24"/>
        </w:rPr>
        <w:t xml:space="preserve">29.5 以下情形的质疑不予受理</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29.5.1 内容不符合《政府采购质疑和投诉办法》第十二条规定的质疑。</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29.5.2 超出政府采购法定期限的质疑。</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29.5.3 以传真、电子邮件等方式递交的非原件形式的质疑。</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29.5.4 未参加投标活动的供应商或在投标活动中自身权益未受到损害的供应商所提出的质疑。</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29.5.5供应商组成联合体参加投标，联合体中任何一方或多方未按要求签字、盖章、加盖公章的质疑。</w:t>
      </w:r>
      <w:r/>
    </w:p>
    <w:p>
      <w:pPr>
        <w:pStyle w:val="800"/>
        <w:ind w:firstLine="468"/>
        <w:jc w:val="both"/>
        <w:spacing w:beforeAutospacing="0" w:afterAutospacing="0" w:line="360" w:lineRule="auto"/>
        <w:rPr>
          <w:rFonts w:hint="eastAsia" w:ascii="宋体" w:hAnsi="宋体" w:cs="宋体"/>
        </w:rPr>
      </w:pPr>
      <w:r>
        <w:rPr>
          <w:rFonts w:hint="eastAsia" w:ascii="宋体" w:hAnsi="宋体" w:cs="宋体"/>
          <w:color w:val="000000"/>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00"/>
        <w:ind w:firstLine="600"/>
        <w:jc w:val="both"/>
        <w:keepLines/>
        <w:keepNext/>
        <w:spacing w:beforeAutospacing="0" w:afterAutospacing="0" w:line="360" w:lineRule="auto"/>
        <w:rPr>
          <w:rFonts w:hint="eastAsia" w:ascii="宋体" w:hAnsi="宋体" w:cs="宋体"/>
        </w:rPr>
      </w:pPr>
      <w:r>
        <w:rPr>
          <w:rFonts w:hint="eastAsia" w:ascii="宋体" w:hAnsi="宋体" w:cs="宋体"/>
          <w:color w:val="000000"/>
        </w:rPr>
        <w:t xml:space="preserve">30、中标通知书</w:t>
      </w:r>
      <w:r/>
    </w:p>
    <w:p>
      <w:pPr>
        <w:pStyle w:val="800"/>
        <w:ind w:firstLine="600"/>
        <w:jc w:val="both"/>
        <w:spacing w:beforeAutospacing="0" w:afterAutospacing="0" w:line="360" w:lineRule="auto"/>
        <w:rPr>
          <w:rFonts w:hint="eastAsia" w:ascii="宋体" w:hAnsi="宋体" w:cs="宋体"/>
        </w:rPr>
      </w:pPr>
      <w:r>
        <w:rPr>
          <w:rFonts w:hint="eastAsia" w:ascii="宋体" w:hAnsi="宋体" w:cs="宋体"/>
          <w:color w:val="000000"/>
        </w:rPr>
        <w:t xml:space="preserve">30.l</w:t>
      </w:r>
      <w:r>
        <w:rPr>
          <w:rFonts w:hint="eastAsia" w:ascii="宋体" w:hAnsi="宋体" w:cs="宋体"/>
          <w:b/>
          <w:color w:val="000000"/>
        </w:rPr>
        <w:t xml:space="preserve"> </w:t>
      </w:r>
      <w:r>
        <w:rPr>
          <w:rFonts w:hint="eastAsia" w:ascii="宋体" w:hAnsi="宋体" w:cs="宋体"/>
          <w:color w:val="000000"/>
        </w:rPr>
        <w:t xml:space="preserve">中标结果确定后，采购中心将向中标人发出中标通知书。请中标人在中标结果公告届满之日起30日内,使用CA数字证书</w:t>
      </w:r>
      <w:r>
        <w:rPr>
          <w:rFonts w:hint="eastAsia" w:ascii="宋体" w:hAnsi="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cs="宋体"/>
          <w:color w:val="000000"/>
        </w:rPr>
        <w:t xml:space="preserve">标人自行承担。</w:t>
      </w:r>
      <w:r/>
    </w:p>
    <w:p>
      <w:pPr>
        <w:pStyle w:val="800"/>
        <w:ind w:firstLine="600"/>
        <w:jc w:val="both"/>
        <w:spacing w:beforeAutospacing="0" w:afterAutospacing="0" w:line="360" w:lineRule="auto"/>
        <w:rPr>
          <w:rFonts w:hint="eastAsia" w:ascii="宋体" w:hAnsi="宋体" w:cs="宋体"/>
        </w:rPr>
      </w:pPr>
      <w:r>
        <w:rPr>
          <w:rFonts w:hint="eastAsia" w:ascii="宋体" w:hAnsi="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00"/>
        <w:jc w:val="both"/>
        <w:keepLines/>
        <w:keepNext/>
        <w:spacing w:before="145" w:beforeAutospacing="0" w:after="145" w:afterAutospacing="0" w:line="360" w:lineRule="auto"/>
        <w:rPr>
          <w:rFonts w:hint="eastAsia" w:ascii="宋体" w:hAnsi="宋体" w:cs="宋体"/>
        </w:rPr>
      </w:pPr>
      <w:r/>
      <w:bookmarkStart w:id="168" w:name="_Toc513029236"/>
      <w:r/>
      <w:bookmarkStart w:id="169" w:name="_Toc16938552"/>
      <w:r/>
      <w:bookmarkStart w:id="170" w:name="_Toc20823308"/>
      <w:r/>
      <w:bookmarkStart w:id="171" w:name="_Toc120614220"/>
      <w:r>
        <w:rPr>
          <w:rFonts w:hint="eastAsia" w:ascii="宋体" w:hAnsi="宋体" w:cs="宋体"/>
          <w:b/>
          <w:color w:val="000000"/>
        </w:rPr>
        <w:t xml:space="preserve">七、授予合同</w:t>
      </w:r>
      <w:bookmarkEnd w:id="168"/>
      <w:r/>
      <w:bookmarkEnd w:id="169"/>
      <w:r/>
      <w:bookmarkEnd w:id="170"/>
      <w:r/>
      <w:bookmarkEnd w:id="171"/>
      <w:r/>
      <w:r/>
    </w:p>
    <w:p>
      <w:pPr>
        <w:pStyle w:val="800"/>
        <w:ind w:firstLine="600"/>
        <w:jc w:val="both"/>
        <w:keepLines/>
        <w:keepNext/>
        <w:spacing w:beforeAutospacing="0" w:afterAutospacing="0" w:line="360" w:lineRule="auto"/>
        <w:rPr>
          <w:rFonts w:hint="eastAsia" w:ascii="宋体" w:hAnsi="宋体" w:cs="宋体"/>
        </w:rPr>
      </w:pPr>
      <w:r/>
      <w:bookmarkStart w:id="172" w:name="_Toc20823309"/>
      <w:r/>
      <w:bookmarkStart w:id="173" w:name="_Toc513029237"/>
      <w:r/>
      <w:bookmarkStart w:id="174" w:name="_Toc16938553"/>
      <w:r>
        <w:rPr>
          <w:rFonts w:hint="eastAsia" w:ascii="宋体" w:hAnsi="宋体" w:cs="宋体"/>
          <w:color w:val="000000"/>
        </w:rPr>
        <w:t xml:space="preserve">31. 签订合同</w:t>
      </w:r>
      <w:bookmarkEnd w:id="172"/>
      <w:r/>
      <w:bookmarkEnd w:id="173"/>
      <w:r/>
      <w:bookmarkEnd w:id="174"/>
      <w:r/>
      <w:r/>
    </w:p>
    <w:p>
      <w:pPr>
        <w:pStyle w:val="800"/>
        <w:ind w:firstLine="600"/>
        <w:jc w:val="both"/>
        <w:spacing w:beforeAutospacing="0" w:afterAutospacing="0" w:line="360" w:lineRule="auto"/>
        <w:rPr>
          <w:rFonts w:hint="eastAsia" w:ascii="宋体" w:hAnsi="宋体" w:cs="宋体"/>
        </w:rPr>
      </w:pPr>
      <w:r>
        <w:rPr>
          <w:rFonts w:hint="eastAsia" w:ascii="宋体" w:hAnsi="宋体" w:cs="宋体"/>
          <w:color w:val="000000"/>
        </w:rPr>
        <w:t xml:space="preserve">31.l中标人应当在中标通知书发出之日起三十日内，按照招标文件确定的事项与采购人签订政府采购合同。</w:t>
      </w:r>
      <w:r/>
    </w:p>
    <w:p>
      <w:pPr>
        <w:pStyle w:val="800"/>
        <w:ind w:firstLine="600"/>
        <w:jc w:val="both"/>
        <w:spacing w:beforeAutospacing="0" w:afterAutospacing="0" w:line="360" w:lineRule="auto"/>
        <w:rPr>
          <w:rFonts w:hint="eastAsia" w:ascii="宋体" w:hAnsi="宋体" w:cs="宋体"/>
        </w:rPr>
      </w:pPr>
      <w:r>
        <w:rPr>
          <w:rFonts w:hint="eastAsia" w:ascii="宋体" w:hAnsi="宋体" w:cs="宋体"/>
          <w:color w:val="000000"/>
        </w:rPr>
        <w:t xml:space="preserve">31.2招标文件、中标人的投标文件及招标过程中有关澄清、承诺文件均应作为合同附件。</w:t>
      </w:r>
      <w:r/>
    </w:p>
    <w:p>
      <w:pPr>
        <w:pStyle w:val="800"/>
        <w:ind w:firstLine="600"/>
        <w:jc w:val="both"/>
        <w:spacing w:beforeAutospacing="0" w:afterAutospacing="0" w:line="360" w:lineRule="auto"/>
        <w:rPr>
          <w:rFonts w:hint="eastAsia" w:ascii="宋体" w:hAnsi="宋体" w:cs="宋体"/>
        </w:rPr>
      </w:pPr>
      <w:r>
        <w:rPr>
          <w:rFonts w:hint="eastAsia" w:ascii="宋体" w:hAnsi="宋体" w:cs="宋体"/>
          <w:color w:val="000000"/>
        </w:rPr>
        <w:t xml:space="preserve">31.3 签订合同后，</w:t>
      </w:r>
      <w:r>
        <w:rPr>
          <w:rFonts w:hint="eastAsia" w:ascii="宋体" w:hAnsi="宋体" w:cs="宋体"/>
          <w:i/>
          <w:color w:val="000000"/>
          <w:u w:val="single"/>
        </w:rPr>
        <w:t xml:space="preserve">中标人不得将合同标的进行转包</w:t>
      </w:r>
      <w:r>
        <w:rPr>
          <w:rFonts w:hint="eastAsia" w:ascii="宋体" w:hAnsi="宋体" w:cs="宋体"/>
          <w:color w:val="000000"/>
        </w:rPr>
        <w:t xml:space="preserve">。未经采购人同意，中标人也不得采用分包的形式履行合同，否则采购人有权终止合同。转包或分包造成采购人损失的，中标人应承担相应赔偿责任。</w:t>
      </w:r>
      <w:r/>
    </w:p>
    <w:p>
      <w:pPr>
        <w:pStyle w:val="800"/>
        <w:ind w:firstLine="600"/>
        <w:jc w:val="both"/>
        <w:spacing w:beforeAutospacing="0" w:afterAutospacing="0" w:line="360" w:lineRule="auto"/>
        <w:rPr>
          <w:rFonts w:hint="eastAsia" w:ascii="宋体" w:hAnsi="宋体" w:cs="宋体"/>
        </w:rPr>
      </w:pPr>
      <w:r>
        <w:rPr>
          <w:rFonts w:hint="eastAsia" w:ascii="宋体" w:hAnsi="宋体" w:cs="宋体"/>
          <w:color w:val="000000"/>
        </w:rPr>
        <w:t xml:space="preserve">（备注：项目经办人在发标前应与采购人商定是否允许中标人分包履行合同，确定后该备注删除）</w:t>
      </w:r>
      <w:r/>
    </w:p>
    <w:p>
      <w:pPr>
        <w:pStyle w:val="800"/>
        <w:ind w:firstLine="600"/>
        <w:jc w:val="both"/>
        <w:keepLines/>
        <w:keepNext/>
        <w:spacing w:beforeAutospacing="0" w:afterAutospacing="0" w:line="360" w:lineRule="auto"/>
        <w:rPr>
          <w:rFonts w:hint="eastAsia" w:ascii="宋体" w:hAnsi="宋体" w:cs="宋体"/>
        </w:rPr>
      </w:pPr>
      <w:r>
        <w:rPr>
          <w:rFonts w:hint="eastAsia" w:ascii="宋体" w:hAnsi="宋体" w:cs="宋体"/>
          <w:color w:val="000000"/>
        </w:rPr>
        <w:t xml:space="preserve">32、货物（包含与货物相关的服务）的追加</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33.政府采购政策功能落实</w:t>
      </w:r>
      <w:r/>
    </w:p>
    <w:p>
      <w:pPr>
        <w:pStyle w:val="800"/>
        <w:ind w:firstLine="480"/>
        <w:jc w:val="both"/>
        <w:keepLines/>
        <w:keepNext/>
        <w:spacing w:beforeAutospacing="0" w:afterAutospacing="0" w:line="360" w:lineRule="auto"/>
        <w:rPr>
          <w:rFonts w:hint="eastAsia" w:ascii="宋体" w:hAnsi="宋体" w:cs="宋体"/>
        </w:rPr>
      </w:pPr>
      <w:r>
        <w:rPr>
          <w:rFonts w:hint="eastAsia" w:ascii="宋体" w:hAnsi="宋体" w:cs="宋体"/>
        </w:rPr>
        <w:t xml:space="preserve">33.1政府采购线上合同信用融资政策</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中小企业</w:t>
      </w:r>
      <w:r>
        <w:rPr>
          <w:rFonts w:hint="eastAsia" w:ascii="宋体" w:hAnsi="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33.3.2供应商提供的货物、工程或者服务符合下列情形的，享受中小企业扶持政策：</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33.3.2.1在货物采购项目中，货物由中小企业制造，即货物由中小企业生产且使用该中小企业商号或者注册商标；</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33.3.2.2在工程采购项目中，工程由中小企业承建，即工程施工单位为中小企业；</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33.3.2.3在服务采购项目中，服务由中小企业承接，即提供服务的人员为中小企业依照《中华人民共和国劳动合同法》订立劳动合同的从业人员。</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33.3.3在货物采购项目中，供应商提供的货物既有中小企业制造货物，也有大型企业制造货物的，不享受中小企业扶持政策。</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33.3.4以联合体形式参加政府采购活动，联合体各方均为中小企业的，联合体视同中小企业。其中，联合体各方均为小微企业的，联合体视同小微企业。</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33.3.6残疾人福利单位定义：享受政府采购支持政策的残疾人福利性单位应当同时满足以下条件：</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33.3.6.1安置的残疾人占本单位在职职工人数的比例不低于25%（含25%），并且安置的残疾人人数不少于10 人（含10 人）；</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33.3.6.2依法与安置的每位残疾人签订了一年以上（含一年）的劳动合同或服务协议；</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33.3.6.3为安置的每位残疾人按月足额缴纳了基本养老保险、基本医疗保险、失业保险、工伤保险和生育保险等社会保险费；</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33.3.6.4通过银行等金融机构向安置的每位残疾人，按月支付了不低于单位所在区县适用的经省级人民政府批准的月最低工资标准的工资；</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33.3.6.5提供本单位制造的货物、承担的工程或者服务（以下简称产品），或者提供其他残疾人福利性单位制造的货物（不包括使用非残疾人福利性单位注册商标的货物）；</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33.3.7本项目是否专门面向中小企业预留采购份额见第一章《招标公告》。</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33.3.8采购标的对应的中小企业划分标准所属行业见第四章《采购需求》。</w:t>
      </w:r>
      <w:r/>
    </w:p>
    <w:p>
      <w:pPr>
        <w:pStyle w:val="800"/>
        <w:ind w:firstLine="480"/>
        <w:jc w:val="both"/>
        <w:spacing w:beforeAutospacing="0" w:afterAutospacing="0" w:line="360" w:lineRule="auto"/>
        <w:rPr>
          <w:rFonts w:hint="eastAsia" w:ascii="宋体" w:hAnsi="宋体" w:cs="宋体"/>
        </w:rPr>
      </w:pPr>
      <w:r>
        <w:rPr>
          <w:rFonts w:hint="eastAsia" w:ascii="宋体" w:hAnsi="宋体" w:cs="宋体"/>
        </w:rPr>
        <w:t xml:space="preserve">33.3.9小微企业价格评审优惠的政策：见第五章《评标方法和评标标准》。</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78"/>
        <w:jc w:val="both"/>
        <w:spacing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33.8履约保证金政策</w:t>
      </w:r>
      <w:r/>
    </w:p>
    <w:p>
      <w:pPr>
        <w:pStyle w:val="866"/>
        <w:ind w:left="0" w:firstLine="560"/>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241"/>
        <w:jc w:val="both"/>
        <w:spacing w:after="0" w:line="360" w:lineRule="auto"/>
        <w:rPr>
          <w:rFonts w:hint="eastAsia" w:ascii="宋体" w:hAnsi="宋体" w:eastAsia="宋体" w:cs="宋体"/>
          <w:color w:val="000000"/>
          <w:sz w:val="24"/>
          <w14:ligatures w14:val="none"/>
        </w:rPr>
      </w:pPr>
      <w:r>
        <w:rPr>
          <w:rFonts w:hint="eastAsia" w:ascii="宋体" w:hAnsi="宋体" w:eastAsia="宋体" w:cs="宋体"/>
          <w:b/>
          <w:bCs/>
          <w:color w:val="000000"/>
          <w:sz w:val="24"/>
          <w14:ligatures w14:val="none"/>
        </w:rPr>
        <w:t xml:space="preserve">本项目履约保证金金额：</w:t>
      </w:r>
      <w:r>
        <w:rPr>
          <w:rFonts w:hint="eastAsia" w:ascii="宋体" w:hAnsi="宋体" w:eastAsia="宋体" w:cs="宋体"/>
          <w:color w:val="000000"/>
          <w:sz w:val="24"/>
          <w14:ligatures w14:val="none"/>
        </w:rPr>
        <w:t xml:space="preserve">合同金额的</w:t>
      </w:r>
      <w:r>
        <w:rPr>
          <w:rFonts w:hint="eastAsia" w:ascii="宋体" w:hAnsi="宋体" w:eastAsia="宋体" w:cs="宋体"/>
          <w:b/>
          <w:bCs/>
          <w:color w:val="000000"/>
          <w:sz w:val="24"/>
          <w14:ligatures w14:val="none"/>
        </w:rPr>
        <w:t xml:space="preserve">5%</w:t>
      </w:r>
      <w:r>
        <w:rPr>
          <w:rFonts w:hint="eastAsia" w:ascii="宋体" w:hAnsi="宋体" w:eastAsia="宋体" w:cs="宋体"/>
          <w:color w:val="000000"/>
          <w:sz w:val="24"/>
          <w14:ligatures w14:val="none"/>
        </w:rPr>
        <w:t xml:space="preserve">。 </w:t>
      </w:r>
      <w:r/>
    </w:p>
    <w:p>
      <w:pPr>
        <w:ind w:firstLine="240"/>
        <w:jc w:val="both"/>
        <w:spacing w:after="0" w:line="360" w:lineRule="auto"/>
        <w:rPr>
          <w:rFonts w:hint="eastAsia" w:ascii="宋体" w:hAnsi="宋体" w:eastAsia="宋体" w:cs="宋体"/>
          <w:b/>
          <w:bCs/>
          <w:color w:val="000000"/>
          <w:sz w:val="24"/>
          <w14:ligatures w14:val="none"/>
        </w:rPr>
      </w:pPr>
      <w:r>
        <w:rPr>
          <w:rFonts w:hint="eastAsia" w:ascii="宋体" w:hAnsi="宋体" w:eastAsia="宋体" w:cs="宋体"/>
          <w:color w:val="000000"/>
          <w:sz w:val="24"/>
          <w14:ligatures w14:val="none"/>
        </w:rPr>
        <w:t xml:space="preserve">银行账户信息如下：</w:t>
      </w:r>
      <w:r>
        <w:rPr>
          <w:rFonts w:hint="eastAsia" w:ascii="宋体" w:hAnsi="宋体" w:eastAsia="宋体" w:cs="宋体"/>
          <w:b/>
          <w:bCs/>
          <w:color w:val="000000"/>
          <w:sz w:val="24"/>
          <w14:ligatures w14:val="none"/>
        </w:rPr>
        <w:t xml:space="preserve"> </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账户名：响水县财政局</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账  号：404601040001924</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开户行：中国农业银行响水县支行</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应注明（项目名称、项目编号）履约保证金。 </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采用保函形式提交履约保证金的，保函应满足但不限于以下要求： </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1.中标人名称、项目名称（如有分包，则应当按包件分别出具保函并写明包件号）； </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2.保函需明确受益人为“响水县教育局 ”； </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3.保函的最高担保金额不低于本项目要求提交的履约保证金的金额； </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4.保函担保的有效期应不短于本项目的履约期限； </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5.在收到采购人加盖公章的书面索赔通知后 10 个工作日内，不争辩、不挑剔、不可撤销地向受益人支付索赔款，直至保函担保的最高担保金额。 </w:t>
      </w:r>
      <w:r/>
    </w:p>
    <w:p>
      <w:pPr>
        <w:ind w:firstLine="241"/>
        <w:jc w:val="both"/>
        <w:spacing w:after="0" w:line="360" w:lineRule="auto"/>
        <w:rPr>
          <w:rFonts w:hint="eastAsia" w:ascii="宋体" w:hAnsi="宋体" w:eastAsia="宋体" w:cs="宋体"/>
          <w:sz w:val="24"/>
        </w:rPr>
      </w:pPr>
      <w:r>
        <w:rPr>
          <w:rFonts w:hint="eastAsia" w:ascii="宋体" w:hAnsi="宋体" w:eastAsia="宋体" w:cs="宋体"/>
          <w:b/>
          <w:bCs/>
          <w:color w:val="000000"/>
          <w:sz w:val="24"/>
          <w14:ligatures w14:val="none"/>
        </w:rPr>
        <w:t xml:space="preserve">履约保证金退还</w:t>
      </w:r>
      <w:r>
        <w:rPr>
          <w:rFonts w:hint="eastAsia" w:ascii="宋体" w:hAnsi="宋体" w:eastAsia="宋体" w:cs="宋体"/>
          <w:color w:val="000000"/>
          <w:sz w:val="24"/>
          <w14:ligatures w14:val="none"/>
        </w:rPr>
        <w:t xml:space="preserve">：履约保证金在项目验收合格正常运行三个月后，采用非保函形式缴纳的履约保证金在 15 个工作日内返还，采用保函形式缴纳的履约保证金在担保有效期后，担保责任终止。递交和退还保函原件时乙方须到甲方现场提供以下证明材 料：①法定代表人授权委托书原件；②委托代理人身份证复印件。采购人逾期退还履约保证金的承担相应法律责任。</w:t>
      </w:r>
      <w:r>
        <w:rPr>
          <w:rFonts w:hint="eastAsia" w:ascii="宋体" w:hAnsi="宋体" w:eastAsia="宋体" w:cs="宋体"/>
          <w:sz w:val="21"/>
          <w14:ligatures w14:val="none"/>
        </w:rPr>
        <w:t xml:space="preserve">                                </w:t>
      </w:r>
      <w:r>
        <w:rPr>
          <w:rFonts w:hint="eastAsia" w:ascii="宋体" w:hAnsi="宋体" w:eastAsia="宋体" w:cs="宋体"/>
          <w:bCs/>
          <w:color w:val="000000"/>
          <w:sz w:val="24"/>
          <w14:ligatures w14:val="none"/>
        </w:rPr>
        <w:t xml:space="preserve">  </w:t>
      </w:r>
      <w:r/>
    </w:p>
    <w:p>
      <w:pPr>
        <w:ind w:firstLine="482"/>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ind w:firstLine="2520"/>
        <w:jc w:val="both"/>
        <w:spacing w:after="0" w:line="360" w:lineRule="auto"/>
        <w:widowControl/>
        <w:rPr>
          <w:rFonts w:hint="eastAsia" w:ascii="宋体" w:hAnsi="宋体" w:eastAsia="宋体" w:cs="宋体"/>
          <w:sz w:val="21"/>
          <w14:ligatures w14:val="none"/>
        </w:rPr>
      </w:pPr>
      <w:r/>
      <w:bookmarkStart w:id="175" w:name="_Toc7629"/>
      <w:r>
        <w:rPr>
          <w:rFonts w:hint="eastAsia" w:ascii="宋体" w:hAnsi="宋体" w:eastAsia="宋体" w:cs="宋体"/>
          <w:sz w:val="21"/>
          <w14:ligatures w14:val="none"/>
        </w:rPr>
        <w:t xml:space="preserve">   </w:t>
      </w:r>
      <w:bookmarkEnd w:id="175"/>
      <w:r/>
      <w:bookmarkStart w:id="176" w:name="_Toc120614244"/>
      <w:r/>
      <w:bookmarkStart w:id="177" w:name="_Toc479757211"/>
      <w:r/>
      <w:bookmarkStart w:id="178" w:name="_Hlt16619350"/>
      <w:r/>
      <w:bookmarkStart w:id="179" w:name="_Toc16938590"/>
      <w:r/>
      <w:bookmarkStart w:id="180" w:name="_Toc462564139"/>
      <w:r/>
      <w:bookmarkStart w:id="181" w:name="_Toc20823346"/>
      <w:r/>
      <w:bookmarkStart w:id="182" w:name="_Hlt16619369"/>
      <w:r>
        <w:rPr>
          <w:rFonts w:hint="eastAsia" w:ascii="宋体" w:hAnsi="宋体" w:eastAsia="宋体" w:cs="宋体"/>
          <w:sz w:val="21"/>
          <w14:ligatures w14:val="none"/>
        </w:rPr>
        <w:t xml:space="preserve"> </w:t>
      </w:r>
      <w:r/>
    </w:p>
    <w:p>
      <w:pPr>
        <w:ind w:firstLine="201"/>
        <w:jc w:val="center"/>
        <w:keepNext/>
        <w:spacing w:after="0" w:line="360" w:lineRule="auto"/>
        <w:rPr>
          <w:rFonts w:hint="eastAsia" w:ascii="宋体" w:hAnsi="宋体" w:eastAsia="宋体" w:cs="宋体"/>
          <w:b/>
          <w:sz w:val="30"/>
          <w14:ligatures w14:val="none"/>
        </w:rPr>
        <w:outlineLvl w:val="0"/>
      </w:pPr>
      <w:r>
        <w:rPr>
          <w:rFonts w:hint="eastAsia" w:ascii="宋体" w:hAnsi="宋体" w:eastAsia="宋体" w:cs="宋体"/>
          <w:sz w:val="21"/>
          <w14:ligatures w14:val="none"/>
        </w:rPr>
        <w:br w:type="page" w:clear="all"/>
      </w:r>
      <w:r>
        <w:rPr>
          <w:rFonts w:hint="eastAsia" w:ascii="宋体" w:hAnsi="宋体" w:eastAsia="宋体" w:cs="宋体"/>
          <w:b/>
          <w:bCs/>
          <w:color w:val="000000"/>
          <w:sz w:val="44"/>
          <w:szCs w:val="44"/>
          <w14:ligatures w14:val="none"/>
        </w:rPr>
        <w:t xml:space="preserve">第三章  合同条款</w:t>
      </w:r>
      <w:r/>
    </w:p>
    <w:p>
      <w:pPr>
        <w:jc w:val="both"/>
        <w:spacing w:after="0" w:line="240" w:lineRule="auto"/>
        <w:rPr>
          <w:rFonts w:hint="eastAsia" w:ascii="宋体" w:hAnsi="宋体" w:eastAsia="宋体" w:cs="宋体"/>
          <w:sz w:val="21"/>
          <w14:ligatures w14:val="none"/>
        </w:rPr>
      </w:pPr>
      <w:r/>
      <w:bookmarkStart w:id="183" w:name="EB6d2006462e294de090c16e672cecc3bd"/>
      <w:r/>
      <w:bookmarkEnd w:id="183"/>
      <w:r/>
    </w:p>
    <w:p>
      <w:pPr>
        <w:jc w:val="center"/>
        <w:spacing w:after="0" w:line="240" w:lineRule="auto"/>
        <w:rPr>
          <w:rFonts w:hint="eastAsia" w:ascii="宋体" w:hAnsi="宋体" w:eastAsia="宋体" w:cs="宋体"/>
          <w:b/>
          <w:bCs/>
          <w:spacing w:val="-20"/>
          <w:sz w:val="48"/>
          <w:szCs w:val="48"/>
          <w14:ligatures w14:val="none"/>
        </w:rPr>
      </w:pPr>
      <w:r/>
      <w:bookmarkStart w:id="184" w:name="_Toc3995"/>
      <w:r/>
      <w:r/>
    </w:p>
    <w:p>
      <w:pPr>
        <w:jc w:val="center"/>
        <w:spacing w:after="0" w:line="240" w:lineRule="auto"/>
        <w:rPr>
          <w:rFonts w:hint="eastAsia" w:ascii="宋体" w:hAnsi="宋体" w:eastAsia="宋体" w:cs="宋体"/>
          <w:b/>
          <w:bCs/>
          <w:spacing w:val="-20"/>
          <w:sz w:val="48"/>
          <w:szCs w:val="48"/>
          <w14:ligatures w14:val="none"/>
        </w:rPr>
      </w:pPr>
      <w:r>
        <w:rPr>
          <w:rFonts w:hint="eastAsia" w:ascii="宋体" w:hAnsi="宋体" w:eastAsia="宋体" w:cs="宋体"/>
          <w:b/>
          <w:bCs/>
          <w:spacing w:val="-20"/>
          <w:sz w:val="48"/>
          <w:szCs w:val="48"/>
          <w14:ligatures w14:val="none"/>
        </w:rPr>
      </w:r>
      <w:r/>
    </w:p>
    <w:p>
      <w:pPr>
        <w:jc w:val="center"/>
        <w:spacing w:after="0" w:line="240" w:lineRule="auto"/>
        <w:rPr>
          <w:rFonts w:hint="eastAsia" w:ascii="宋体" w:hAnsi="宋体" w:eastAsia="宋体" w:cs="宋体"/>
          <w:b/>
          <w:bCs/>
          <w:spacing w:val="-20"/>
          <w:sz w:val="48"/>
          <w:szCs w:val="48"/>
          <w14:ligatures w14:val="none"/>
        </w:rPr>
      </w:pPr>
      <w:r>
        <w:rPr>
          <w:rFonts w:hint="eastAsia" w:ascii="宋体" w:hAnsi="宋体" w:eastAsia="宋体" w:cs="宋体"/>
          <w:b/>
          <w:bCs/>
          <w:spacing w:val="-20"/>
          <w:sz w:val="48"/>
          <w:szCs w:val="48"/>
          <w14:ligatures w14:val="none"/>
        </w:rPr>
      </w:r>
      <w:r/>
    </w:p>
    <w:p>
      <w:pPr>
        <w:jc w:val="center"/>
        <w:spacing w:after="0" w:line="240" w:lineRule="auto"/>
        <w:rPr>
          <w:rFonts w:hint="eastAsia" w:ascii="宋体" w:hAnsi="宋体" w:eastAsia="宋体" w:cs="宋体"/>
          <w:b/>
          <w:bCs/>
          <w:spacing w:val="-20"/>
          <w:sz w:val="48"/>
          <w:szCs w:val="48"/>
          <w14:ligatures w14:val="none"/>
        </w:rPr>
      </w:pPr>
      <w:r>
        <w:rPr>
          <w:rFonts w:hint="eastAsia" w:ascii="宋体" w:hAnsi="宋体" w:eastAsia="宋体" w:cs="宋体"/>
          <w:b/>
          <w:bCs/>
          <w:spacing w:val="-20"/>
          <w:sz w:val="48"/>
          <w:szCs w:val="48"/>
          <w14:ligatures w14:val="none"/>
        </w:rPr>
      </w:r>
      <w:r/>
    </w:p>
    <w:p>
      <w:pPr>
        <w:jc w:val="center"/>
        <w:spacing w:after="0" w:line="240" w:lineRule="auto"/>
        <w:rPr>
          <w:rFonts w:hint="eastAsia" w:ascii="宋体" w:hAnsi="宋体" w:eastAsia="宋体" w:cs="宋体"/>
          <w:sz w:val="30"/>
          <w14:ligatures w14:val="none"/>
        </w:rPr>
      </w:pPr>
      <w:r>
        <w:rPr>
          <w:rFonts w:hint="eastAsia" w:ascii="宋体" w:hAnsi="宋体" w:eastAsia="宋体" w:cs="宋体"/>
          <w:sz w:val="30"/>
          <w14:ligatures w14:val="none"/>
        </w:rPr>
      </w:r>
      <w:r/>
    </w:p>
    <w:p>
      <w:pPr>
        <w:jc w:val="center"/>
        <w:spacing w:after="0" w:line="240" w:lineRule="auto"/>
        <w:rPr>
          <w:rFonts w:hint="eastAsia" w:ascii="宋体" w:hAnsi="宋体" w:eastAsia="宋体" w:cs="宋体"/>
          <w:sz w:val="30"/>
          <w14:ligatures w14:val="none"/>
        </w:rPr>
      </w:pPr>
      <w:r>
        <w:rPr>
          <w:rFonts w:hint="eastAsia" w:ascii="宋体" w:hAnsi="宋体" w:eastAsia="宋体" w:cs="宋体"/>
          <w:sz w:val="30"/>
          <w14:ligatures w14:val="none"/>
        </w:rPr>
        <w:t xml:space="preserve">政府采购货物买卖合同</w:t>
      </w:r>
      <w:r/>
    </w:p>
    <w:p>
      <w:pPr>
        <w:jc w:val="center"/>
        <w:spacing w:after="0" w:line="240" w:lineRule="auto"/>
        <w:rPr>
          <w:rFonts w:hint="eastAsia" w:ascii="宋体" w:hAnsi="宋体" w:eastAsia="宋体" w:cs="宋体"/>
          <w:sz w:val="30"/>
          <w14:ligatures w14:val="none"/>
        </w:rPr>
      </w:pPr>
      <w:r>
        <w:rPr>
          <w:rFonts w:hint="eastAsia" w:ascii="宋体" w:hAnsi="宋体" w:eastAsia="宋体" w:cs="宋体"/>
          <w:sz w:val="30"/>
          <w14:ligatures w14:val="none"/>
        </w:rPr>
      </w:r>
      <w:r/>
    </w:p>
    <w:p>
      <w:pPr>
        <w:jc w:val="both"/>
        <w:spacing w:after="0" w:line="240" w:lineRule="auto"/>
        <w:rPr>
          <w:rFonts w:hint="eastAsia" w:ascii="宋体" w:hAnsi="宋体" w:eastAsia="宋体" w:cs="宋体"/>
          <w:sz w:val="30"/>
          <w14:ligatures w14:val="none"/>
        </w:rPr>
      </w:pPr>
      <w:r>
        <w:rPr>
          <w:rFonts w:hint="eastAsia" w:ascii="宋体" w:hAnsi="宋体" w:eastAsia="宋体" w:cs="宋体"/>
          <w:sz w:val="30"/>
          <w14:ligatures w14:val="none"/>
        </w:rPr>
      </w:r>
      <w:r/>
    </w:p>
    <w:p>
      <w:pPr>
        <w:jc w:val="both"/>
        <w:spacing w:after="0" w:line="240" w:lineRule="auto"/>
        <w:rPr>
          <w:rFonts w:hint="eastAsia" w:ascii="宋体" w:hAnsi="宋体" w:eastAsia="宋体" w:cs="宋体"/>
          <w:sz w:val="30"/>
          <w14:ligatures w14:val="none"/>
        </w:rPr>
      </w:pPr>
      <w:r>
        <w:rPr>
          <w:rFonts w:hint="eastAsia" w:ascii="宋体" w:hAnsi="宋体" w:eastAsia="宋体" w:cs="宋体"/>
          <w:sz w:val="30"/>
          <w14:ligatures w14:val="none"/>
        </w:rPr>
      </w:r>
      <w:r/>
    </w:p>
    <w:p>
      <w:pPr>
        <w:jc w:val="both"/>
        <w:spacing w:after="0" w:line="240" w:lineRule="auto"/>
        <w:rPr>
          <w:rFonts w:hint="eastAsia" w:ascii="宋体" w:hAnsi="宋体" w:eastAsia="宋体" w:cs="宋体"/>
          <w:sz w:val="30"/>
          <w14:ligatures w14:val="none"/>
        </w:rPr>
      </w:pPr>
      <w:r>
        <w:rPr>
          <w:rFonts w:hint="eastAsia" w:ascii="宋体" w:hAnsi="宋体" w:eastAsia="宋体" w:cs="宋体"/>
          <w:sz w:val="30"/>
          <w14:ligatures w14:val="none"/>
        </w:rPr>
      </w:r>
      <w:r/>
    </w:p>
    <w:p>
      <w:pPr>
        <w:ind w:left="420"/>
        <w:jc w:val="both"/>
        <w:spacing w:after="0" w:line="360" w:lineRule="auto"/>
        <w:rPr>
          <w:rFonts w:hint="eastAsia" w:ascii="宋体" w:hAnsi="宋体" w:eastAsia="宋体" w:cs="宋体"/>
          <w:sz w:val="30"/>
          <w14:ligatures w14:val="none"/>
        </w:rPr>
      </w:pPr>
      <w:r>
        <w:rPr>
          <w:rFonts w:hint="eastAsia" w:ascii="宋体" w:hAnsi="宋体" w:eastAsia="宋体" w:cs="宋体"/>
          <w:sz w:val="30"/>
          <w14:ligatures w14:val="none"/>
        </w:rPr>
        <w:t xml:space="preserve">项目名称：</w:t>
      </w:r>
      <w:r/>
    </w:p>
    <w:p>
      <w:pPr>
        <w:ind w:left="420"/>
        <w:jc w:val="both"/>
        <w:spacing w:after="0" w:line="360" w:lineRule="auto"/>
        <w:rPr>
          <w:rFonts w:hint="eastAsia" w:ascii="宋体" w:hAnsi="宋体" w:eastAsia="宋体" w:cs="宋体"/>
          <w:sz w:val="30"/>
          <w14:ligatures w14:val="none"/>
        </w:rPr>
      </w:pPr>
      <w:r>
        <w:rPr>
          <w:rFonts w:hint="eastAsia" w:ascii="宋体" w:hAnsi="宋体" w:eastAsia="宋体" w:cs="宋体"/>
          <w:sz w:val="30"/>
          <w14:ligatures w14:val="none"/>
        </w:rPr>
        <w:t xml:space="preserve">合同编号：</w:t>
      </w:r>
      <w:r/>
    </w:p>
    <w:p>
      <w:pPr>
        <w:ind w:left="420"/>
        <w:jc w:val="both"/>
        <w:spacing w:after="0" w:line="360" w:lineRule="auto"/>
        <w:rPr>
          <w:rFonts w:hint="eastAsia" w:ascii="宋体" w:hAnsi="宋体" w:eastAsia="宋体" w:cs="宋体"/>
          <w:sz w:val="30"/>
          <w14:ligatures w14:val="none"/>
        </w:rPr>
      </w:pPr>
      <w:r>
        <w:rPr>
          <w:rFonts w:hint="eastAsia" w:ascii="宋体" w:hAnsi="宋体" w:eastAsia="宋体" w:cs="宋体"/>
          <w:sz w:val="30"/>
          <w14:ligatures w14:val="none"/>
        </w:rPr>
        <w:t xml:space="preserve">甲    方：</w:t>
      </w:r>
      <w:r/>
    </w:p>
    <w:p>
      <w:pPr>
        <w:ind w:left="420"/>
        <w:jc w:val="both"/>
        <w:spacing w:after="0" w:line="360" w:lineRule="auto"/>
        <w:rPr>
          <w:rFonts w:hint="eastAsia" w:ascii="宋体" w:hAnsi="宋体" w:eastAsia="宋体" w:cs="宋体"/>
          <w:sz w:val="30"/>
          <w14:ligatures w14:val="none"/>
        </w:rPr>
      </w:pPr>
      <w:r>
        <w:rPr>
          <w:rFonts w:hint="eastAsia" w:ascii="宋体" w:hAnsi="宋体" w:eastAsia="宋体" w:cs="宋体"/>
          <w:sz w:val="30"/>
          <w14:ligatures w14:val="none"/>
        </w:rPr>
        <w:t xml:space="preserve">乙    方：</w:t>
      </w:r>
      <w:r/>
    </w:p>
    <w:p>
      <w:pPr>
        <w:ind w:left="420"/>
        <w:jc w:val="both"/>
        <w:spacing w:after="0" w:line="360" w:lineRule="auto"/>
        <w:rPr>
          <w:rFonts w:hint="eastAsia" w:ascii="宋体" w:hAnsi="宋体" w:eastAsia="宋体" w:cs="宋体"/>
          <w:sz w:val="30"/>
          <w14:ligatures w14:val="none"/>
        </w:rPr>
      </w:pPr>
      <w:r>
        <w:rPr>
          <w:rFonts w:hint="eastAsia" w:ascii="宋体" w:hAnsi="宋体" w:eastAsia="宋体" w:cs="宋体"/>
          <w:sz w:val="30"/>
          <w14:ligatures w14:val="none"/>
        </w:rPr>
        <w:t xml:space="preserve">签订时间：</w:t>
      </w:r>
      <w:r/>
    </w:p>
    <w:p>
      <w:pPr>
        <w:jc w:val="both"/>
        <w:spacing w:after="0" w:line="240" w:lineRule="auto"/>
        <w:rPr>
          <w:rFonts w:hint="eastAsia" w:ascii="宋体" w:hAnsi="宋体" w:eastAsia="宋体" w:cs="宋体"/>
          <w:sz w:val="21"/>
          <w14:ligatures w14:val="none"/>
        </w:rPr>
      </w:pPr>
      <w:r>
        <w:rPr>
          <w:rFonts w:hint="eastAsia" w:ascii="宋体" w:hAnsi="宋体" w:eastAsia="宋体" w:cs="宋体"/>
          <w:sz w:val="21"/>
          <w14:ligatures w14:val="none"/>
        </w:rPr>
      </w:r>
      <w:r/>
    </w:p>
    <w:p>
      <w:pPr>
        <w:jc w:val="both"/>
        <w:spacing w:after="0" w:line="240" w:lineRule="auto"/>
        <w:rPr>
          <w:rFonts w:hint="eastAsia" w:ascii="宋体" w:hAnsi="宋体" w:eastAsia="宋体" w:cs="宋体"/>
          <w:sz w:val="44"/>
          <w:szCs w:val="44"/>
          <w14:ligatures w14:val="none"/>
        </w:rPr>
      </w:pPr>
      <w:r>
        <w:rPr>
          <w:rFonts w:hint="eastAsia" w:ascii="宋体" w:hAnsi="宋体" w:eastAsia="宋体" w:cs="宋体"/>
          <w:sz w:val="44"/>
          <w:szCs w:val="44"/>
          <w14:ligatures w14:val="none"/>
        </w:rPr>
        <w:br w:type="page" w:clear="all"/>
      </w:r>
      <w:r/>
    </w:p>
    <w:p>
      <w:pPr>
        <w:jc w:val="center"/>
        <w:spacing w:after="0" w:line="240" w:lineRule="auto"/>
        <w:rPr>
          <w:rFonts w:hint="eastAsia" w:ascii="宋体" w:hAnsi="宋体" w:eastAsia="宋体" w:cs="宋体"/>
          <w:sz w:val="44"/>
          <w:szCs w:val="44"/>
          <w14:ligatures w14:val="none"/>
        </w:rPr>
      </w:pPr>
      <w:r>
        <w:rPr>
          <w:rFonts w:hint="eastAsia" w:ascii="宋体" w:hAnsi="宋体" w:eastAsia="宋体" w:cs="宋体"/>
          <w:sz w:val="44"/>
          <w:szCs w:val="44"/>
          <w14:ligatures w14:val="none"/>
        </w:rPr>
        <w:t xml:space="preserve">使用说明</w:t>
      </w:r>
      <w:r/>
    </w:p>
    <w:p>
      <w:pPr>
        <w:ind w:firstLine="640"/>
        <w:jc w:val="both"/>
        <w:spacing w:after="0" w:line="240" w:lineRule="auto"/>
        <w:rPr>
          <w:rFonts w:hint="eastAsia" w:ascii="宋体" w:hAnsi="宋体" w:eastAsia="宋体" w:cs="宋体"/>
          <w:sz w:val="32"/>
          <w:szCs w:val="32"/>
          <w14:ligatures w14:val="none"/>
        </w:rPr>
      </w:pPr>
      <w:r>
        <w:rPr>
          <w:rFonts w:hint="eastAsia" w:ascii="宋体" w:hAnsi="宋体" w:eastAsia="宋体" w:cs="宋体"/>
          <w:sz w:val="32"/>
          <w:szCs w:val="32"/>
          <w14:ligatures w14:val="none"/>
        </w:rPr>
      </w:r>
      <w:r/>
    </w:p>
    <w:p>
      <w:pPr>
        <w:ind w:firstLine="6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1.本合同标准文本适用于购买现成货物的采购项目，不包括需要供应商定制开发、创新研发的货物采购项目。</w:t>
      </w:r>
      <w:r/>
    </w:p>
    <w:p>
      <w:pPr>
        <w:ind w:firstLine="72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2.本合同标准文本为政府采购货物买卖合同编制提供参考，可以结合采购项目具体情况，对文本作必要的调整修订后使用。</w:t>
      </w:r>
      <w:r/>
    </w:p>
    <w:p>
      <w:pPr>
        <w:ind w:firstLine="640"/>
        <w:jc w:val="both"/>
        <w:spacing w:after="0" w:line="360" w:lineRule="auto"/>
        <w:rPr>
          <w:rFonts w:hint="eastAsia" w:ascii="宋体" w:hAnsi="宋体" w:eastAsia="宋体" w:cs="宋体"/>
          <w:sz w:val="24"/>
          <w14:ligatures w14:val="none"/>
        </w:rPr>
        <w:sectPr>
          <w:footerReference w:type="default" r:id="rId11"/>
          <w:footnotePr/>
          <w:endnotePr/>
          <w:type w:val="nextPage"/>
          <w:pgSz w:w="11906" w:h="16838" w:orient="portrait"/>
          <w:pgMar w:top="1327" w:right="1800" w:bottom="1270" w:left="1800" w:header="851" w:footer="992" w:gutter="0"/>
          <w:pgNumType w:start="1"/>
          <w:cols w:num="1" w:sep="0" w:space="720" w:equalWidth="1"/>
          <w:docGrid w:linePitch="360"/>
        </w:sectPr>
      </w:pPr>
      <w:r>
        <w:rPr>
          <w:rFonts w:hint="eastAsia" w:ascii="宋体" w:hAnsi="宋体" w:eastAsia="宋体" w:cs="宋体"/>
          <w:sz w:val="24"/>
          <w14:ligatures w14:val="none"/>
        </w:rPr>
        <w:t xml:space="preserve">3.本合同标准文本各条款中，如涉及填写多家供应商、制造商，多种采购标的、分包主要内容等信息的，可根据采购项目具体情况添加信息项。</w:t>
      </w:r>
      <w:bookmarkEnd w:id="184"/>
      <w:r/>
    </w:p>
    <w:p>
      <w:pPr>
        <w:jc w:val="center"/>
        <w:keepLines/>
        <w:keepNext/>
        <w:spacing w:after="0" w:line="400" w:lineRule="exact"/>
        <w:rPr>
          <w:rFonts w:hint="eastAsia" w:ascii="宋体" w:hAnsi="宋体" w:eastAsia="宋体" w:cs="宋体"/>
          <w:sz w:val="28"/>
          <w:szCs w:val="28"/>
          <w14:ligatures w14:val="none"/>
        </w:rPr>
      </w:pPr>
      <w:r/>
      <w:bookmarkStart w:id="185" w:name="_Toc22209"/>
      <w:r>
        <w:rPr>
          <w:rFonts w:hint="eastAsia" w:ascii="宋体" w:hAnsi="宋体" w:eastAsia="宋体" w:cs="宋体"/>
          <w:sz w:val="28"/>
          <w:szCs w:val="28"/>
          <w14:ligatures w14:val="none"/>
        </w:rPr>
        <w:t xml:space="preserve">第一节 政府采购合同协议书</w:t>
      </w:r>
      <w:bookmarkEnd w:id="185"/>
      <w:r/>
      <w:r/>
    </w:p>
    <w:p>
      <w:pPr>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甲方（全称）：</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乙方（全称）：</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依据《中华人民共和国民法典》、《中华人民共和国政府采购法》等有关的法律法规，以及</w:t>
      </w:r>
      <w:r>
        <w:rPr>
          <w:rFonts w:hint="eastAsia" w:ascii="宋体" w:hAnsi="宋体" w:eastAsia="宋体" w:cs="宋体"/>
          <w:sz w:val="24"/>
          <w:u w:val="single"/>
          <w14:ligatures w14:val="none"/>
        </w:rPr>
        <w:t xml:space="preserve">（项目名称）</w:t>
      </w:r>
      <w:r>
        <w:rPr>
          <w:rFonts w:hint="eastAsia" w:ascii="宋体" w:hAnsi="宋体" w:eastAsia="宋体" w:cs="宋体"/>
          <w:sz w:val="24"/>
          <w14:ligatures w14:val="none"/>
        </w:rPr>
        <w:t xml:space="preserve">的招标文件等采购文件、乙方的《投标（响应）文件》及《中标（成交）通知书》，甲乙双方同意签订本合同。具体情况及要求如下：     </w:t>
      </w:r>
      <w:r/>
    </w:p>
    <w:p>
      <w:pPr>
        <w:jc w:val="both"/>
        <w:spacing w:after="0" w:line="360" w:lineRule="auto"/>
        <w:rPr>
          <w:rFonts w:hint="eastAsia" w:ascii="宋体" w:hAnsi="宋体" w:eastAsia="宋体" w:cs="宋体"/>
          <w:b/>
          <w:sz w:val="24"/>
          <w14:ligatures w14:val="none"/>
        </w:rPr>
      </w:pPr>
      <w:r>
        <w:rPr>
          <w:rFonts w:hint="eastAsia" w:ascii="宋体" w:hAnsi="宋体" w:eastAsia="宋体" w:cs="宋体"/>
          <w:b/>
          <w:sz w:val="24"/>
          <w14:ligatures w14:val="none"/>
        </w:rPr>
        <w:t xml:space="preserve">1、项目信息</w:t>
      </w:r>
      <w:r/>
    </w:p>
    <w:p>
      <w:pPr>
        <w:ind w:firstLine="240"/>
        <w:jc w:val="both"/>
        <w:spacing w:after="0" w:line="360" w:lineRule="auto"/>
        <w:rPr>
          <w:rFonts w:hint="eastAsia" w:ascii="宋体" w:hAnsi="宋体" w:eastAsia="宋体" w:cs="宋体"/>
          <w:sz w:val="24"/>
          <w:u w:val="single"/>
          <w14:ligatures w14:val="none"/>
        </w:rPr>
      </w:pPr>
      <w:r>
        <w:rPr>
          <w:rFonts w:hint="eastAsia" w:ascii="宋体" w:hAnsi="宋体" w:eastAsia="宋体" w:cs="宋体"/>
          <w:sz w:val="24"/>
          <w14:ligatures w14:val="none"/>
        </w:rPr>
        <w:t xml:space="preserve">（1）采购项目名称：</w:t>
      </w:r>
      <w:r>
        <w:rPr>
          <w:rFonts w:hint="eastAsia" w:ascii="宋体" w:hAnsi="宋体" w:eastAsia="宋体" w:cs="宋体"/>
          <w:sz w:val="24"/>
          <w:u w:val="single"/>
          <w14:ligatures w14:val="none"/>
        </w:rPr>
        <w:t xml:space="preserve">                          </w:t>
      </w:r>
      <w:r/>
    </w:p>
    <w:p>
      <w:pPr>
        <w:ind w:firstLine="240"/>
        <w:jc w:val="both"/>
        <w:spacing w:after="0" w:line="360" w:lineRule="auto"/>
        <w:tabs>
          <w:tab w:val="left" w:pos="999" w:leader="none"/>
        </w:tabs>
        <w:rPr>
          <w:rFonts w:hint="eastAsia" w:ascii="宋体" w:hAnsi="宋体" w:eastAsia="宋体" w:cs="宋体"/>
          <w:sz w:val="24"/>
          <w:u w:val="single"/>
          <w14:ligatures w14:val="none"/>
        </w:rPr>
      </w:pPr>
      <w:r>
        <w:rPr>
          <w:rFonts w:hint="eastAsia" w:ascii="宋体" w:hAnsi="宋体" w:eastAsia="宋体" w:cs="宋体"/>
          <w:sz w:val="24"/>
          <w14:ligatures w14:val="none"/>
        </w:rPr>
        <w:t xml:space="preserve">（2）采购项目编号：</w:t>
      </w:r>
      <w:r>
        <w:rPr>
          <w:rFonts w:hint="eastAsia" w:ascii="宋体" w:hAnsi="宋体" w:eastAsia="宋体" w:cs="宋体"/>
          <w:sz w:val="24"/>
          <w:u w:val="single"/>
          <w14:ligatures w14:val="none"/>
        </w:rPr>
        <w:t xml:space="preserve">                          </w:t>
      </w:r>
      <w:r/>
    </w:p>
    <w:p>
      <w:pPr>
        <w:ind w:firstLine="240"/>
        <w:jc w:val="both"/>
        <w:spacing w:after="0" w:line="360" w:lineRule="auto"/>
        <w:rPr>
          <w:rFonts w:hint="eastAsia" w:ascii="宋体" w:hAnsi="宋体" w:eastAsia="宋体" w:cs="宋体"/>
          <w:sz w:val="24"/>
          <w:u w:val="single"/>
          <w14:ligatures w14:val="none"/>
        </w:rPr>
      </w:pPr>
      <w:r>
        <w:rPr>
          <w:rFonts w:hint="eastAsia" w:ascii="宋体" w:hAnsi="宋体" w:eastAsia="宋体" w:cs="宋体"/>
          <w:sz w:val="24"/>
          <w14:ligatures w14:val="none"/>
        </w:rPr>
        <w:t xml:space="preserve">（3）采购计划编号：</w:t>
      </w:r>
      <w:r>
        <w:rPr>
          <w:rFonts w:hint="eastAsia" w:ascii="宋体" w:hAnsi="宋体" w:eastAsia="宋体" w:cs="宋体"/>
          <w:sz w:val="24"/>
          <w:u w:val="single"/>
          <w14:ligatures w14:val="none"/>
        </w:rPr>
        <w:t xml:space="preserve">                          </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（4）项目内容：</w:t>
      </w:r>
      <w:r/>
    </w:p>
    <w:p>
      <w:pPr>
        <w:ind w:firstLine="240"/>
        <w:jc w:val="both"/>
        <w:spacing w:after="0" w:line="360" w:lineRule="auto"/>
        <w:rPr>
          <w:rFonts w:hint="eastAsia" w:ascii="宋体" w:hAnsi="宋体" w:eastAsia="宋体" w:cs="宋体"/>
          <w:sz w:val="24"/>
          <w:u w:val="single"/>
          <w14:ligatures w14:val="none"/>
        </w:rPr>
      </w:pPr>
      <w:r>
        <w:rPr>
          <w:rFonts w:hint="eastAsia" w:ascii="宋体" w:hAnsi="宋体" w:eastAsia="宋体" w:cs="宋体"/>
          <w:sz w:val="24"/>
          <w14:ligatures w14:val="none"/>
        </w:rPr>
        <w:t xml:space="preserve">具体见附件。</w:t>
      </w:r>
      <w:r/>
    </w:p>
    <w:p>
      <w:pPr>
        <w:spacing w:after="0" w:line="360" w:lineRule="auto"/>
        <w:widowControl/>
        <w:rPr>
          <w:rFonts w:hint="eastAsia" w:ascii="宋体" w:hAnsi="宋体" w:eastAsia="宋体" w:cs="宋体"/>
          <w:sz w:val="24"/>
          <w14:ligatures w14:val="none"/>
        </w:rPr>
      </w:pPr>
      <w:r>
        <w:rPr>
          <w:rFonts w:hint="eastAsia" w:ascii="宋体" w:hAnsi="宋体" w:eastAsia="宋体" w:cs="宋体"/>
          <w:sz w:val="24"/>
          <w14:ligatures w14:val="none"/>
        </w:rPr>
        <w:t xml:space="preserve">  （5）政府采购组织形式：集中采购</w:t>
      </w:r>
      <w:r/>
    </w:p>
    <w:p>
      <w:pPr>
        <w:ind w:firstLine="240"/>
        <w:spacing w:after="0" w:line="360" w:lineRule="auto"/>
        <w:widowControl/>
        <w:rPr>
          <w:rFonts w:hint="eastAsia" w:ascii="宋体" w:hAnsi="宋体" w:eastAsia="宋体" w:cs="宋体"/>
          <w:sz w:val="24"/>
          <w14:ligatures w14:val="none"/>
        </w:rPr>
      </w:pPr>
      <w:r>
        <w:rPr>
          <w:rFonts w:hint="eastAsia" w:ascii="宋体" w:hAnsi="宋体" w:eastAsia="宋体" w:cs="宋体"/>
          <w:sz w:val="24"/>
          <w14:ligatures w14:val="none"/>
        </w:rPr>
        <w:t xml:space="preserve">（6）政府采购方式：公开招标</w:t>
      </w:r>
      <w:r/>
    </w:p>
    <w:p>
      <w:pPr>
        <w:ind w:firstLine="240"/>
        <w:spacing w:after="0" w:line="360" w:lineRule="auto"/>
        <w:widowControl/>
        <w:rPr>
          <w:rFonts w:hint="eastAsia" w:ascii="宋体" w:hAnsi="宋体" w:eastAsia="宋体" w:cs="宋体"/>
          <w:sz w:val="24"/>
          <w14:ligatures w14:val="none"/>
        </w:rPr>
      </w:pPr>
      <w:r>
        <w:rPr>
          <w:rFonts w:hint="eastAsia" w:ascii="宋体" w:hAnsi="宋体" w:eastAsia="宋体" w:cs="宋体"/>
          <w:sz w:val="24"/>
          <w14:ligatures w14:val="none"/>
        </w:rPr>
        <w:t xml:space="preserve">（7）中标（成交）采购标的制造商是否为中小企业：</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是   </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否</w:t>
      </w:r>
      <w:r/>
    </w:p>
    <w:p>
      <w:pPr>
        <w:jc w:val="both"/>
        <w:spacing w:after="0" w:line="360" w:lineRule="auto"/>
        <w:rPr>
          <w:rFonts w:hint="eastAsia" w:ascii="宋体" w:hAnsi="宋体" w:eastAsia="宋体" w:cs="宋体"/>
          <w:iCs/>
          <w:sz w:val="24"/>
          <w14:ligatures w14:val="none"/>
        </w:rPr>
      </w:pPr>
      <w:r>
        <w:rPr>
          <w:rFonts w:hint="eastAsia" w:ascii="宋体" w:hAnsi="宋体" w:eastAsia="宋体" w:cs="宋体"/>
          <w:sz w:val="24"/>
          <w14:ligatures w14:val="none"/>
        </w:rPr>
        <w:t xml:space="preserve">    本合同是否为专门面向中小企业的采购合同（中小企业预留合同）：</w:t>
      </w:r>
      <w:r>
        <w:rPr>
          <w:rFonts w:ascii="Wingdings" w:hAnsi="Wingdings" w:eastAsia="Wingdings" w:cs="Wingdings"/>
          <w:sz w:val="24"/>
          <w14:ligatures w14:val="none"/>
        </w:rPr>
        <w:t xml:space="preserve">¨</w:t>
      </w:r>
      <w:r>
        <w:rPr>
          <w:rFonts w:hint="eastAsia" w:ascii="宋体" w:hAnsi="宋体" w:eastAsia="宋体" w:cs="宋体"/>
          <w:iCs/>
          <w:sz w:val="24"/>
          <w14:ligatures w14:val="none"/>
        </w:rPr>
        <w:t xml:space="preserve">是   </w:t>
      </w: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iCs/>
          <w:sz w:val="24"/>
          <w14:ligatures w14:val="none"/>
        </w:rPr>
        <w:t xml:space="preserve">否</w:t>
      </w:r>
      <w:r/>
    </w:p>
    <w:p>
      <w:pPr>
        <w:jc w:val="both"/>
        <w:spacing w:after="0" w:line="360" w:lineRule="auto"/>
        <w:rPr>
          <w:rFonts w:hint="eastAsia" w:ascii="宋体" w:hAnsi="宋体" w:eastAsia="宋体" w:cs="宋体"/>
          <w:iCs/>
          <w:sz w:val="24"/>
          <w14:ligatures w14:val="none"/>
        </w:rPr>
      </w:pPr>
      <w:r>
        <w:rPr>
          <w:rFonts w:hint="eastAsia" w:ascii="宋体" w:hAnsi="宋体" w:eastAsia="宋体" w:cs="宋体"/>
          <w:sz w:val="24"/>
          <w14:ligatures w14:val="none"/>
        </w:rPr>
        <w:t xml:space="preserve">   若本项目不专门面向中小企业采购，是否给予小微企业评审优惠：</w:t>
      </w:r>
      <w:r>
        <w:rPr>
          <w:rFonts w:ascii="Wingdings" w:hAnsi="Wingdings" w:eastAsia="Wingdings" w:cs="Wingdings"/>
          <w:sz w:val="24"/>
          <w14:ligatures w14:val="none"/>
        </w:rPr>
        <w:t xml:space="preserve">¨</w:t>
      </w:r>
      <w:r>
        <w:rPr>
          <w:rFonts w:hint="eastAsia" w:ascii="宋体" w:hAnsi="宋体" w:eastAsia="宋体" w:cs="宋体"/>
          <w:iCs/>
          <w:sz w:val="24"/>
          <w14:ligatures w14:val="none"/>
        </w:rPr>
        <w:t xml:space="preserve">是 </w:t>
      </w:r>
      <w:r>
        <w:rPr>
          <w:rFonts w:ascii="Wingdings" w:hAnsi="Wingdings" w:eastAsia="Wingdings" w:cs="Wingdings"/>
          <w:sz w:val="24"/>
          <w14:ligatures w14:val="none"/>
        </w:rPr>
        <w:t xml:space="preserve">¨</w:t>
      </w:r>
      <w:r>
        <w:rPr>
          <w:rFonts w:hint="eastAsia" w:ascii="宋体" w:hAnsi="宋体" w:eastAsia="宋体" w:cs="宋体"/>
          <w:iCs/>
          <w:sz w:val="24"/>
          <w14:ligatures w14:val="none"/>
        </w:rPr>
        <w:t xml:space="preserve">否</w:t>
      </w:r>
      <w:r/>
    </w:p>
    <w:p>
      <w:pPr>
        <w:jc w:val="both"/>
        <w:spacing w:after="0" w:line="360" w:lineRule="auto"/>
        <w:rPr>
          <w:rFonts w:hint="eastAsia" w:ascii="宋体" w:hAnsi="宋体" w:eastAsia="宋体" w:cs="宋体"/>
          <w:iCs/>
          <w:sz w:val="24"/>
          <w14:ligatures w14:val="none"/>
        </w:rPr>
      </w:pPr>
      <w:r>
        <w:rPr>
          <w:rFonts w:hint="eastAsia" w:ascii="宋体" w:hAnsi="宋体" w:eastAsia="宋体" w:cs="宋体"/>
          <w:sz w:val="24"/>
          <w14:ligatures w14:val="none"/>
        </w:rPr>
        <w:t xml:space="preserve">   中标（成交）采购标的制造商是否为残疾人福利性单位：</w:t>
      </w:r>
      <w:r>
        <w:rPr>
          <w:rFonts w:ascii="Wingdings" w:hAnsi="Wingdings" w:eastAsia="Wingdings" w:cs="Wingdings"/>
          <w:sz w:val="24"/>
          <w14:ligatures w14:val="none"/>
        </w:rPr>
        <w:t xml:space="preserve">¨</w:t>
      </w:r>
      <w:r>
        <w:rPr>
          <w:rFonts w:hint="eastAsia" w:ascii="宋体" w:hAnsi="宋体" w:eastAsia="宋体" w:cs="宋体"/>
          <w:iCs/>
          <w:sz w:val="24"/>
          <w14:ligatures w14:val="none"/>
        </w:rPr>
        <w:t xml:space="preserve">是  </w:t>
      </w: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iCs/>
          <w:sz w:val="24"/>
          <w14:ligatures w14:val="none"/>
        </w:rPr>
        <w:t xml:space="preserve">否</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中标（成交）采购标的制造商是否为监狱企业：</w:t>
      </w:r>
      <w:r>
        <w:rPr>
          <w:rFonts w:ascii="Wingdings" w:hAnsi="Wingdings" w:eastAsia="Wingdings" w:cs="Wingdings"/>
          <w:sz w:val="24"/>
          <w14:ligatures w14:val="none"/>
        </w:rPr>
        <w:t xml:space="preserve">¨</w:t>
      </w:r>
      <w:r>
        <w:rPr>
          <w:rFonts w:hint="eastAsia" w:ascii="宋体" w:hAnsi="宋体" w:eastAsia="宋体" w:cs="宋体"/>
          <w:iCs/>
          <w:sz w:val="24"/>
          <w14:ligatures w14:val="none"/>
        </w:rPr>
        <w:t xml:space="preserve">是   </w:t>
      </w:r>
      <w:r>
        <w:rPr>
          <w:rFonts w:ascii="Wingdings" w:hAnsi="Wingdings" w:eastAsia="Wingdings" w:cs="Wingdings"/>
          <w:sz w:val="24"/>
          <w14:ligatures w14:val="none"/>
        </w:rPr>
        <w:t xml:space="preserve">¨</w:t>
      </w:r>
      <w:r>
        <w:rPr>
          <w:rFonts w:hint="eastAsia" w:ascii="宋体" w:hAnsi="宋体" w:eastAsia="宋体" w:cs="宋体"/>
          <w:iCs/>
          <w:sz w:val="24"/>
          <w14:ligatures w14:val="none"/>
        </w:rPr>
        <w:t xml:space="preserve">否</w:t>
      </w:r>
      <w:r/>
    </w:p>
    <w:p>
      <w:pPr>
        <w:ind w:firstLine="240"/>
        <w:jc w:val="both"/>
        <w:spacing w:after="0" w:line="360" w:lineRule="auto"/>
        <w:rPr>
          <w:rFonts w:hint="eastAsia" w:ascii="宋体" w:hAnsi="宋体" w:eastAsia="宋体" w:cs="宋体"/>
          <w:iCs/>
          <w:sz w:val="24"/>
          <w14:ligatures w14:val="none"/>
        </w:rPr>
      </w:pPr>
      <w:r>
        <w:rPr>
          <w:rFonts w:hint="eastAsia" w:ascii="宋体" w:hAnsi="宋体" w:eastAsia="宋体" w:cs="宋体"/>
          <w:sz w:val="24"/>
          <w14:ligatures w14:val="none"/>
        </w:rPr>
        <w:t xml:space="preserve">（8）中标（成交）供应商是否为外商投资企业：</w:t>
      </w:r>
      <w:r>
        <w:rPr>
          <w:rFonts w:ascii="Wingdings" w:hAnsi="Wingdings" w:eastAsia="Wingdings" w:cs="Wingdings"/>
          <w:sz w:val="24"/>
          <w14:ligatures w14:val="none"/>
        </w:rPr>
        <w:t xml:space="preserve">¨</w:t>
      </w:r>
      <w:r>
        <w:rPr>
          <w:rFonts w:hint="eastAsia" w:ascii="宋体" w:hAnsi="宋体" w:eastAsia="宋体" w:cs="宋体"/>
          <w:iCs/>
          <w:sz w:val="24"/>
          <w14:ligatures w14:val="none"/>
        </w:rPr>
        <w:t xml:space="preserve">是   </w:t>
      </w:r>
      <w:r>
        <w:rPr>
          <w:rFonts w:hint="eastAsia" w:ascii="宋体" w:hAnsi="宋体" w:eastAsia="宋体" w:cs="宋体"/>
          <w:sz w:val="24"/>
          <w14:ligatures w14:val="none"/>
        </w:rPr>
        <w:t xml:space="preserve"></w:t>
      </w:r>
      <w:r>
        <w:rPr>
          <w:rFonts w:hint="eastAsia" w:ascii="宋体" w:hAnsi="宋体" w:eastAsia="宋体" w:cs="宋体"/>
          <w:iCs/>
          <w:sz w:val="24"/>
          <w14:ligatures w14:val="none"/>
        </w:rPr>
        <w:t xml:space="preserve">否</w:t>
      </w:r>
      <w:r/>
    </w:p>
    <w:p>
      <w:pPr>
        <w:ind w:firstLine="240"/>
        <w:spacing w:after="0" w:line="360" w:lineRule="auto"/>
        <w:widowControl/>
        <w:tabs>
          <w:tab w:val="left" w:pos="1340" w:leader="none"/>
        </w:tabs>
        <w:rPr>
          <w:rFonts w:hint="eastAsia" w:ascii="宋体" w:hAnsi="宋体" w:eastAsia="宋体" w:cs="宋体"/>
          <w:sz w:val="24"/>
          <w:u w:val="single"/>
          <w14:ligatures w14:val="none"/>
        </w:rPr>
      </w:pPr>
      <w:r>
        <w:rPr>
          <w:rFonts w:hint="eastAsia" w:ascii="宋体" w:hAnsi="宋体" w:eastAsia="宋体" w:cs="宋体"/>
          <w:sz w:val="24"/>
          <w14:ligatures w14:val="none"/>
        </w:rPr>
        <w:t xml:space="preserve">外商投资企业类型：</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全部由外国投资者投资  </w:t>
      </w:r>
      <w:r>
        <w:rPr>
          <w:rFonts w:ascii="Wingdings" w:hAnsi="Wingdings" w:eastAsia="Wingdings" w:cs="Wingdings"/>
          <w:sz w:val="24"/>
          <w14:ligatures w14:val="none"/>
        </w:rPr>
        <w:t xml:space="preserve">¨</w:t>
      </w:r>
      <w:r>
        <w:rPr>
          <w:rFonts w:hint="eastAsia" w:ascii="宋体" w:hAnsi="宋体" w:eastAsia="宋体" w:cs="宋体"/>
          <w:iCs/>
          <w:sz w:val="24"/>
          <w14:ligatures w14:val="none"/>
        </w:rPr>
        <w:t xml:space="preserve">部分由外国投资者投资</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（9）是否涉及进口产品：</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否</w:t>
      </w:r>
      <w:r/>
    </w:p>
    <w:p>
      <w:pPr>
        <w:ind w:firstLine="240"/>
        <w:jc w:val="both"/>
        <w:spacing w:after="0" w:line="360" w:lineRule="auto"/>
        <w:tabs>
          <w:tab w:val="left" w:pos="740" w:leader="none"/>
        </w:tabs>
        <w:rPr>
          <w:rFonts w:hint="eastAsia" w:ascii="宋体" w:hAnsi="宋体" w:eastAsia="宋体" w:cs="宋体"/>
          <w:sz w:val="24"/>
          <w14:ligatures w14:val="none"/>
        </w:rPr>
      </w:pPr>
      <w:r>
        <w:rPr>
          <w:rFonts w:hint="eastAsia" w:ascii="宋体" w:hAnsi="宋体" w:eastAsia="宋体" w:cs="宋体"/>
          <w:sz w:val="24"/>
          <w14:ligatures w14:val="none"/>
        </w:rPr>
        <w:t xml:space="preserve">（10）是否涉及节能产品：</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是，《节能产品政府采购品目清单》的底级品目名称：</w:t>
      </w:r>
      <w:r/>
    </w:p>
    <w:p>
      <w:pPr>
        <w:ind w:firstLine="240"/>
        <w:jc w:val="both"/>
        <w:spacing w:after="0" w:line="360" w:lineRule="auto"/>
        <w:tabs>
          <w:tab w:val="left" w:pos="740" w:leader="none"/>
        </w:tabs>
        <w:rPr>
          <w:rFonts w:hint="eastAsia" w:ascii="宋体" w:hAnsi="宋体" w:eastAsia="宋体" w:cs="宋体"/>
          <w:sz w:val="24"/>
          <w14:ligatures w14:val="none"/>
        </w:rPr>
      </w:pP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强制采购</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优先采购  </w:t>
      </w:r>
      <w:r>
        <w:rPr>
          <w:rFonts w:hint="eastAsia" w:ascii="宋体" w:hAnsi="宋体" w:eastAsia="宋体" w:cs="宋体"/>
          <w:sz w:val="24"/>
          <w:lang w:val="en-US" w:eastAsia="zh-CN"/>
          <w14:ligatures w14:val="none"/>
        </w:rPr>
        <w:t xml:space="preserve"> </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否</w:t>
      </w:r>
      <w:r/>
    </w:p>
    <w:p>
      <w:pPr>
        <w:ind w:firstLine="480"/>
        <w:jc w:val="both"/>
        <w:spacing w:after="0" w:line="360" w:lineRule="auto"/>
        <w:tabs>
          <w:tab w:val="left" w:pos="740" w:leader="none"/>
        </w:tabs>
        <w:rPr>
          <w:rFonts w:hint="eastAsia" w:ascii="宋体" w:hAnsi="宋体" w:eastAsia="宋体" w:cs="宋体"/>
          <w:sz w:val="24"/>
          <w14:ligatures w14:val="none"/>
        </w:rPr>
      </w:pPr>
      <w:r>
        <w:rPr>
          <w:rFonts w:hint="eastAsia" w:ascii="宋体" w:hAnsi="宋体" w:eastAsia="宋体" w:cs="宋体"/>
          <w:sz w:val="24"/>
          <w14:ligatures w14:val="none"/>
        </w:rPr>
        <w:t xml:space="preserve">是否涉及环境标志产品：</w:t>
      </w:r>
      <w:r/>
    </w:p>
    <w:p>
      <w:pPr>
        <w:ind w:firstLine="480"/>
        <w:jc w:val="both"/>
        <w:spacing w:after="0" w:line="360" w:lineRule="auto"/>
        <w:tabs>
          <w:tab w:val="left" w:pos="740" w:leader="none"/>
        </w:tabs>
        <w:rPr>
          <w:rFonts w:hint="eastAsia" w:ascii="宋体" w:hAnsi="宋体" w:eastAsia="宋体" w:cs="宋体"/>
          <w:sz w:val="24"/>
          <w14:ligatures w14:val="none"/>
        </w:rPr>
      </w:pP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是，《环境标志产品政府采购品目清单》的底级品目名称：</w:t>
      </w:r>
      <w:r/>
    </w:p>
    <w:p>
      <w:pPr>
        <w:ind w:firstLine="480"/>
        <w:jc w:val="both"/>
        <w:spacing w:after="0" w:line="360" w:lineRule="auto"/>
        <w:tabs>
          <w:tab w:val="left" w:pos="740" w:leader="none"/>
        </w:tabs>
        <w:rPr>
          <w:rFonts w:hint="eastAsia" w:ascii="宋体" w:hAnsi="宋体" w:eastAsia="宋体" w:cs="宋体"/>
          <w:sz w:val="24"/>
          <w14:ligatures w14:val="none"/>
        </w:rPr>
      </w:pP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强制采购</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优先采购</w:t>
      </w:r>
      <w:r/>
    </w:p>
    <w:p>
      <w:pPr>
        <w:ind w:firstLine="480"/>
        <w:jc w:val="both"/>
        <w:spacing w:after="0" w:line="360" w:lineRule="auto"/>
        <w:tabs>
          <w:tab w:val="left" w:pos="740" w:leader="none"/>
        </w:tabs>
        <w:rPr>
          <w:rFonts w:hint="eastAsia" w:ascii="宋体" w:hAnsi="宋体" w:eastAsia="宋体" w:cs="宋体"/>
          <w:sz w:val="24"/>
          <w14:ligatures w14:val="none"/>
        </w:rPr>
      </w:pP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否</w:t>
      </w:r>
      <w:r/>
    </w:p>
    <w:p>
      <w:pPr>
        <w:ind w:firstLine="480"/>
        <w:spacing w:after="0" w:line="360" w:lineRule="auto"/>
        <w:widowControl/>
        <w:rPr>
          <w:rFonts w:hint="eastAsia" w:ascii="宋体" w:hAnsi="宋体" w:eastAsia="宋体" w:cs="宋体"/>
          <w:sz w:val="24"/>
          <w14:ligatures w14:val="none"/>
        </w:rPr>
      </w:pPr>
      <w:r>
        <w:rPr>
          <w:rFonts w:hint="eastAsia" w:ascii="宋体" w:hAnsi="宋体" w:eastAsia="宋体" w:cs="宋体"/>
          <w:sz w:val="24"/>
          <w14:ligatures w14:val="none"/>
        </w:rPr>
        <w:t xml:space="preserve">是否涉及绿色产品：</w:t>
      </w:r>
      <w:r/>
    </w:p>
    <w:p>
      <w:pPr>
        <w:ind w:firstLine="480"/>
        <w:spacing w:after="0" w:line="360" w:lineRule="auto"/>
        <w:widowControl/>
        <w:rPr>
          <w:rFonts w:hint="eastAsia" w:ascii="宋体" w:hAnsi="宋体" w:eastAsia="宋体" w:cs="宋体"/>
          <w:sz w:val="24"/>
          <w14:ligatures w14:val="none"/>
        </w:rPr>
      </w:pP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是，绿色产品政府采购相关政策确定的底级品目名称：</w:t>
      </w:r>
      <w:r/>
    </w:p>
    <w:p>
      <w:pPr>
        <w:ind w:firstLine="480"/>
        <w:jc w:val="both"/>
        <w:spacing w:after="0" w:line="360" w:lineRule="auto"/>
        <w:tabs>
          <w:tab w:val="left" w:pos="740" w:leader="none"/>
        </w:tabs>
        <w:rPr>
          <w:rFonts w:hint="eastAsia" w:ascii="宋体" w:hAnsi="宋体" w:eastAsia="宋体" w:cs="宋体"/>
          <w:sz w:val="24"/>
          <w14:ligatures w14:val="none"/>
        </w:rPr>
      </w:pP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强制采购</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优先采购 </w:t>
      </w:r>
      <w:r/>
    </w:p>
    <w:p>
      <w:pPr>
        <w:ind w:firstLine="480"/>
        <w:jc w:val="both"/>
        <w:spacing w:after="0" w:line="360" w:lineRule="auto"/>
        <w:tabs>
          <w:tab w:val="left" w:pos="740" w:leader="none"/>
        </w:tabs>
        <w:rPr>
          <w:rFonts w:hint="eastAsia" w:ascii="宋体" w:hAnsi="宋体" w:eastAsia="宋体" w:cs="宋体"/>
          <w:sz w:val="24"/>
          <w14:ligatures w14:val="none"/>
        </w:rPr>
      </w:pP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否</w:t>
      </w:r>
      <w:r/>
    </w:p>
    <w:p>
      <w:pPr>
        <w:numPr>
          <w:ilvl w:val="0"/>
          <w:numId w:val="2"/>
        </w:numPr>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涉及商品包装和快递包装的，是否参考《商品包装政府采购需求标准（试行）》、《快递包装政府采购需求标准（试行）》明确产品及相关快递服务的具体包装要求：</w:t>
      </w:r>
      <w:r/>
    </w:p>
    <w:p>
      <w:pPr>
        <w:ind w:left="240"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是     </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否   </w:t>
      </w:r>
      <w:r>
        <w:rPr>
          <w:rFonts w:ascii="Wingdings" w:hAnsi="Wingdings" w:eastAsia="Wingdings" w:cs="Wingdings"/>
          <w:sz w:val="24"/>
          <w14:ligatures w14:val="none"/>
        </w:rPr>
        <w:t xml:space="preserve">¨</w:t>
      </w:r>
      <w:r>
        <w:rPr>
          <w:rFonts w:hint="eastAsia" w:ascii="宋体" w:hAnsi="宋体" w:eastAsia="宋体" w:cs="宋体"/>
          <w:sz w:val="24"/>
          <w14:ligatures w14:val="none"/>
        </w:rPr>
        <w:t xml:space="preserve">不涉及</w:t>
      </w:r>
      <w:r/>
    </w:p>
    <w:p>
      <w:pPr>
        <w:jc w:val="both"/>
        <w:spacing w:after="0" w:line="360" w:lineRule="auto"/>
        <w:rPr>
          <w:rFonts w:hint="eastAsia" w:ascii="宋体" w:hAnsi="宋体" w:eastAsia="宋体" w:cs="宋体"/>
          <w:b/>
          <w:sz w:val="24"/>
          <w14:ligatures w14:val="none"/>
        </w:rPr>
      </w:pPr>
      <w:r>
        <w:rPr>
          <w:rFonts w:hint="eastAsia" w:ascii="宋体" w:hAnsi="宋体" w:eastAsia="宋体" w:cs="宋体"/>
          <w:b/>
          <w:sz w:val="24"/>
          <w14:ligatures w14:val="none"/>
        </w:rPr>
        <w:t xml:space="preserve">2、合同金额</w:t>
      </w:r>
      <w:r/>
    </w:p>
    <w:p>
      <w:pPr>
        <w:jc w:val="both"/>
        <w:spacing w:after="0" w:line="360" w:lineRule="auto"/>
        <w:rPr>
          <w:rFonts w:hint="eastAsia" w:ascii="宋体" w:hAnsi="宋体" w:eastAsia="宋体" w:cs="宋体"/>
          <w:sz w:val="24"/>
          <w:u w:val="single"/>
          <w14:ligatures w14:val="none"/>
        </w:rPr>
      </w:pPr>
      <w:r>
        <w:rPr>
          <w:rFonts w:hint="eastAsia" w:ascii="宋体" w:hAnsi="宋体" w:eastAsia="宋体" w:cs="宋体"/>
          <w:sz w:val="24"/>
          <w14:ligatures w14:val="none"/>
        </w:rPr>
        <w:t xml:space="preserve">（1）合同金额小写：</w:t>
      </w:r>
      <w:r>
        <w:rPr>
          <w:rFonts w:hint="eastAsia" w:ascii="宋体" w:hAnsi="宋体" w:eastAsia="宋体" w:cs="宋体"/>
          <w:sz w:val="24"/>
          <w:u w:val="single"/>
          <w14:ligatures w14:val="none"/>
        </w:rPr>
        <w:t xml:space="preserve">       </w:t>
      </w:r>
      <w:r>
        <w:rPr>
          <w:rFonts w:hint="eastAsia" w:ascii="宋体" w:hAnsi="宋体" w:eastAsia="宋体" w:cs="宋体"/>
          <w:sz w:val="24"/>
          <w14:ligatures w14:val="none"/>
        </w:rPr>
        <w:t xml:space="preserve"> 大写：</w:t>
      </w:r>
      <w:r>
        <w:rPr>
          <w:rFonts w:hint="eastAsia" w:ascii="宋体" w:hAnsi="宋体" w:eastAsia="宋体" w:cs="宋体"/>
          <w:sz w:val="24"/>
          <w:u w:val="single"/>
          <w14:ligatures w14:val="none"/>
        </w:rPr>
        <w:t xml:space="preserve">           </w:t>
      </w:r>
      <w:r/>
    </w:p>
    <w:p>
      <w:pPr>
        <w:jc w:val="both"/>
        <w:spacing w:after="0" w:line="276" w:lineRule="auto"/>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（2）付款方式：①报价中含清单所列及安装、运输、送货等与本项目相关的一切费用，本项目单项报价含税。自验收报告签字确认日起，开始进入质保期。</w:t>
      </w:r>
      <w:r/>
    </w:p>
    <w:p>
      <w:pPr>
        <w:jc w:val="both"/>
        <w:spacing w:after="0" w:line="276" w:lineRule="auto"/>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②本项目落实预付款制度，预付款比例为合同金额的30%，在签订合同时，中标人明确书面表示无需预付款或者主动要求降低预付款比例的，招标人可就预付款比例作相应调整。</w:t>
      </w:r>
      <w:r/>
    </w:p>
    <w:p>
      <w:pPr>
        <w:jc w:val="both"/>
        <w:spacing w:after="0" w:line="276" w:lineRule="auto"/>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③ 支付时间：  </w:t>
      </w:r>
      <w:r/>
    </w:p>
    <w:p>
      <w:pPr>
        <w:jc w:val="both"/>
        <w:spacing w:after="0" w:line="276" w:lineRule="auto"/>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（1）所有货物安装完毕，甲方组织验收，验收合格后甲方向乙方支付至合同总价的30%款项；</w:t>
      </w:r>
      <w:r/>
    </w:p>
    <w:p>
      <w:pPr>
        <w:jc w:val="both"/>
        <w:spacing w:after="0" w:line="276" w:lineRule="auto"/>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（2）验收合格满一年后，甲方向乙方支付至审计价的60%款项；</w:t>
      </w:r>
      <w:r/>
    </w:p>
    <w:p>
      <w:pPr>
        <w:jc w:val="both"/>
        <w:spacing w:after="0" w:line="276" w:lineRule="auto"/>
        <w:rPr>
          <w:rFonts w:hint="eastAsia" w:ascii="宋体" w:hAnsi="宋体" w:eastAsia="宋体" w:cs="宋体"/>
          <w:b/>
          <w:bCs/>
          <w:sz w:val="24"/>
          <w:u w:val="single"/>
          <w14:ligatures w14:val="none"/>
        </w:rPr>
      </w:pPr>
      <w:r>
        <w:rPr>
          <w:rFonts w:hint="eastAsia" w:ascii="宋体" w:hAnsi="宋体" w:eastAsia="宋体" w:cs="宋体"/>
          <w:b/>
          <w:bCs/>
          <w:sz w:val="24"/>
          <w14:ligatures w14:val="none"/>
        </w:rPr>
        <w:t xml:space="preserve">（3）验收合格满二年后，甲方向乙方支付至审计价的90%款项，余款次年付清。</w:t>
      </w:r>
      <w:r/>
    </w:p>
    <w:p>
      <w:pPr>
        <w:jc w:val="both"/>
        <w:spacing w:after="0" w:line="360" w:lineRule="auto"/>
        <w:rPr>
          <w:rFonts w:hint="eastAsia" w:ascii="宋体" w:hAnsi="宋体" w:eastAsia="宋体" w:cs="宋体"/>
          <w:b/>
          <w:color w:val="000000"/>
          <w:sz w:val="24"/>
          <w:u w:val="single"/>
          <w14:ligatures w14:val="none"/>
        </w:rPr>
      </w:pPr>
      <w:r>
        <w:rPr>
          <w:rFonts w:hint="eastAsia" w:ascii="宋体" w:hAnsi="宋体" w:eastAsia="宋体" w:cs="宋体"/>
          <w:b/>
          <w:color w:val="000000"/>
          <w:sz w:val="24"/>
          <w14:ligatures w14:val="none"/>
        </w:rPr>
        <w:t xml:space="preserve">3、合同履行</w:t>
      </w:r>
      <w:r/>
    </w:p>
    <w:p>
      <w:pPr>
        <w:ind w:firstLine="12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（1）起始日期：</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14:ligatures w14:val="none"/>
        </w:rPr>
        <w:t xml:space="preserve">年</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14:ligatures w14:val="none"/>
        </w:rPr>
        <w:t xml:space="preserve">月</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14:ligatures w14:val="none"/>
        </w:rPr>
        <w:t xml:space="preserve">日，完成日期：</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14:ligatures w14:val="none"/>
        </w:rPr>
        <w:t xml:space="preserve">年</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14:ligatures w14:val="none"/>
        </w:rPr>
        <w:t xml:space="preserve">月</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14:ligatures w14:val="none"/>
        </w:rPr>
        <w:t xml:space="preserve">日。</w:t>
      </w:r>
      <w:r/>
    </w:p>
    <w:p>
      <w:pPr>
        <w:ind w:firstLine="120"/>
        <w:jc w:val="both"/>
        <w:spacing w:after="0" w:line="360" w:lineRule="auto"/>
        <w:rPr>
          <w:rFonts w:hint="eastAsia" w:ascii="宋体" w:hAnsi="宋体" w:eastAsia="宋体" w:cs="宋体"/>
          <w:bCs/>
          <w:color w:val="000000"/>
          <w:sz w:val="24"/>
          <w:u w:val="single"/>
          <w14:ligatures w14:val="none"/>
        </w:rPr>
      </w:pPr>
      <w:r>
        <w:rPr>
          <w:rFonts w:hint="eastAsia" w:ascii="宋体" w:hAnsi="宋体" w:eastAsia="宋体" w:cs="宋体"/>
          <w:color w:val="000000"/>
          <w:sz w:val="24"/>
          <w14:ligatures w14:val="none"/>
        </w:rPr>
        <w:t xml:space="preserve">（2）履约地点</w:t>
      </w:r>
      <w:r>
        <w:rPr>
          <w:rFonts w:hint="eastAsia" w:ascii="宋体" w:hAnsi="宋体" w:eastAsia="宋体" w:cs="宋体"/>
          <w:bCs/>
          <w:color w:val="000000"/>
          <w:sz w:val="24"/>
          <w14:ligatures w14:val="none"/>
        </w:rPr>
        <w:t xml:space="preserve">：</w:t>
      </w:r>
      <w:r>
        <w:rPr>
          <w:rFonts w:hint="eastAsia" w:ascii="宋体" w:hAnsi="宋体" w:eastAsia="宋体" w:cs="宋体"/>
          <w:bCs/>
          <w:color w:val="000000"/>
          <w:sz w:val="24"/>
          <w:u w:val="single"/>
          <w14:ligatures w14:val="none"/>
        </w:rPr>
        <w:t xml:space="preserve">         </w:t>
      </w:r>
      <w:r/>
    </w:p>
    <w:p>
      <w:pPr>
        <w:ind w:firstLine="12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（3）履约担保：履约担保：是否收取履约保证金：</w:t>
      </w:r>
      <w:r>
        <w:rPr>
          <w:rFonts w:ascii="Wingdings" w:hAnsi="Wingdings" w:eastAsia="Wingdings" w:cs="Wingdings"/>
          <w:color w:val="000000"/>
          <w:sz w:val="24"/>
          <w14:ligatures w14:val="none"/>
        </w:rPr>
        <w:t xml:space="preserve">¨</w:t>
      </w:r>
      <w:r>
        <w:rPr>
          <w:rFonts w:hint="eastAsia" w:ascii="宋体" w:hAnsi="宋体" w:eastAsia="宋体" w:cs="宋体"/>
          <w:color w:val="000000"/>
          <w:sz w:val="24"/>
          <w14:ligatures w14:val="none"/>
        </w:rPr>
        <w:t xml:space="preserve">是    </w:t>
      </w:r>
      <w:r>
        <w:rPr>
          <w:rFonts w:ascii="Wingdings" w:hAnsi="Wingdings" w:eastAsia="Wingdings" w:cs="Wingdings"/>
          <w:color w:val="000000"/>
          <w:sz w:val="24"/>
          <w14:ligatures w14:val="none"/>
        </w:rPr>
        <w:t xml:space="preserve">¨</w:t>
      </w:r>
      <w:r>
        <w:rPr>
          <w:rFonts w:hint="eastAsia" w:ascii="宋体" w:hAnsi="宋体" w:eastAsia="宋体" w:cs="宋体"/>
          <w:color w:val="000000"/>
          <w:sz w:val="24"/>
          <w14:ligatures w14:val="none"/>
        </w:rPr>
        <w:t xml:space="preserve">否</w:t>
      </w:r>
      <w:r/>
    </w:p>
    <w:p>
      <w:pPr>
        <w:ind w:firstLine="12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     收取履约保证金形式：</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14:ligatures w14:val="none"/>
        </w:rPr>
        <w:t xml:space="preserve">                                                            </w:t>
      </w:r>
      <w:r/>
    </w:p>
    <w:p>
      <w:pPr>
        <w:ind w:firstLine="12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     收取履约保证金金额：</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14:ligatures w14:val="none"/>
        </w:rPr>
        <w:t xml:space="preserve">                                                            </w:t>
      </w:r>
      <w:r/>
    </w:p>
    <w:p>
      <w:pPr>
        <w:ind w:firstLine="12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     履约担保期限：                                     </w:t>
      </w:r>
      <w:r/>
    </w:p>
    <w:p>
      <w:pPr>
        <w:numPr>
          <w:ilvl w:val="0"/>
          <w:numId w:val="3"/>
        </w:numPr>
        <w:ind w:firstLine="12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确需收取履约保证金的：</w:t>
      </w:r>
      <w:r/>
    </w:p>
    <w:p>
      <w:pPr>
        <w:ind w:firstLine="241"/>
        <w:jc w:val="both"/>
        <w:spacing w:after="0" w:line="360" w:lineRule="auto"/>
        <w:rPr>
          <w:rFonts w:hint="eastAsia" w:ascii="宋体" w:hAnsi="宋体" w:eastAsia="宋体" w:cs="宋体"/>
          <w:b/>
          <w:bCs/>
          <w:color w:val="000000"/>
          <w:sz w:val="24"/>
          <w14:ligatures w14:val="none"/>
        </w:rPr>
      </w:pPr>
      <w:r>
        <w:rPr>
          <w:rFonts w:hint="eastAsia" w:ascii="宋体" w:hAnsi="宋体" w:eastAsia="宋体" w:cs="宋体"/>
          <w:b/>
          <w:bCs/>
          <w:color w:val="000000"/>
          <w:sz w:val="24"/>
          <w14:ligatures w14:val="none"/>
        </w:rPr>
        <w:t xml:space="preserve">履约保证金的缴纳形式：</w:t>
      </w:r>
      <w:r/>
    </w:p>
    <w:p>
      <w:pPr>
        <w:ind w:firstLine="480"/>
        <w:jc w:val="both"/>
        <w:spacing w:after="0" w:line="360" w:lineRule="auto"/>
        <w:rPr>
          <w:rFonts w:hint="eastAsia" w:ascii="宋体" w:hAnsi="宋体" w:eastAsia="宋体" w:cs="宋体"/>
          <w:bCs/>
          <w:sz w:val="24"/>
          <w14:ligatures w14:val="none"/>
        </w:rPr>
      </w:pPr>
      <w:r>
        <w:rPr>
          <w:rFonts w:hint="eastAsia" w:ascii="宋体" w:hAnsi="宋体" w:eastAsia="宋体" w:cs="宋体"/>
          <w:bCs/>
          <w:sz w:val="24"/>
          <w14:ligatures w14: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after="0" w:line="360" w:lineRule="auto"/>
        <w:rPr>
          <w:rFonts w:hint="eastAsia" w:ascii="宋体" w:hAnsi="宋体" w:eastAsia="宋体" w:cs="宋体"/>
          <w:bCs/>
          <w:sz w:val="24"/>
          <w14:ligatures w14:val="none"/>
        </w:rPr>
      </w:pPr>
      <w:r>
        <w:rPr>
          <w:rFonts w:hint="eastAsia" w:ascii="宋体" w:hAnsi="宋体" w:eastAsia="宋体" w:cs="宋体"/>
          <w:bCs/>
          <w:sz w:val="24"/>
          <w14:ligatures w14:val="none"/>
        </w:rPr>
        <w:t xml:space="preserve"> 如以履约保函（保险）形式缴纳履约保证金，供应商可通过政府采购电子履约保函（保险）平台（www.jsdzbh.com）在线申请履约保函（保险）。</w:t>
      </w:r>
      <w:r/>
    </w:p>
    <w:p>
      <w:pPr>
        <w:ind w:firstLine="241"/>
        <w:jc w:val="both"/>
        <w:spacing w:after="0" w:line="360" w:lineRule="auto"/>
        <w:rPr>
          <w:rFonts w:hint="eastAsia" w:ascii="宋体" w:hAnsi="宋体" w:eastAsia="宋体" w:cs="宋体"/>
          <w:color w:val="000000"/>
          <w:sz w:val="24"/>
          <w14:ligatures w14:val="none"/>
        </w:rPr>
      </w:pPr>
      <w:r>
        <w:rPr>
          <w:rFonts w:hint="eastAsia" w:ascii="宋体" w:hAnsi="宋体" w:eastAsia="宋体" w:cs="宋体"/>
          <w:b/>
          <w:bCs/>
          <w:color w:val="000000"/>
          <w:sz w:val="24"/>
          <w14:ligatures w14:val="none"/>
        </w:rPr>
        <w:t xml:space="preserve">履约保证金金额：</w:t>
      </w:r>
      <w:r>
        <w:rPr>
          <w:rFonts w:hint="eastAsia" w:ascii="宋体" w:hAnsi="宋体" w:eastAsia="宋体" w:cs="宋体"/>
          <w:color w:val="000000"/>
          <w:sz w:val="24"/>
          <w14:ligatures w14:val="none"/>
        </w:rPr>
        <w:t xml:space="preserve">合同金额的</w:t>
      </w:r>
      <w:r>
        <w:rPr>
          <w:rFonts w:hint="eastAsia" w:ascii="宋体" w:hAnsi="宋体" w:eastAsia="宋体" w:cs="宋体"/>
          <w:b/>
          <w:bCs/>
          <w:color w:val="000000"/>
          <w:sz w:val="24"/>
          <w14:ligatures w14:val="none"/>
        </w:rPr>
        <w:t xml:space="preserve">5%</w:t>
      </w:r>
      <w:r>
        <w:rPr>
          <w:rFonts w:hint="eastAsia" w:ascii="宋体" w:hAnsi="宋体" w:eastAsia="宋体" w:cs="宋体"/>
          <w:color w:val="000000"/>
          <w:sz w:val="24"/>
          <w14:ligatures w14:val="none"/>
        </w:rPr>
        <w:t xml:space="preserve">。 </w:t>
      </w:r>
      <w:r/>
    </w:p>
    <w:p>
      <w:pPr>
        <w:ind w:firstLine="240"/>
        <w:jc w:val="both"/>
        <w:spacing w:after="0" w:line="360" w:lineRule="auto"/>
        <w:rPr>
          <w:rFonts w:hint="eastAsia" w:ascii="宋体" w:hAnsi="宋体" w:eastAsia="宋体" w:cs="宋体"/>
          <w:b/>
          <w:bCs/>
          <w:color w:val="000000"/>
          <w:sz w:val="24"/>
          <w14:ligatures w14:val="none"/>
        </w:rPr>
      </w:pPr>
      <w:r>
        <w:rPr>
          <w:rFonts w:hint="eastAsia" w:ascii="宋体" w:hAnsi="宋体" w:eastAsia="宋体" w:cs="宋体"/>
          <w:color w:val="000000"/>
          <w:sz w:val="24"/>
          <w14:ligatures w14:val="none"/>
        </w:rPr>
        <w:t xml:space="preserve">银行账户信息如下：</w:t>
      </w:r>
      <w:r>
        <w:rPr>
          <w:rFonts w:hint="eastAsia" w:ascii="宋体" w:hAnsi="宋体" w:eastAsia="宋体" w:cs="宋体"/>
          <w:b/>
          <w:bCs/>
          <w:color w:val="000000"/>
          <w:sz w:val="24"/>
          <w14:ligatures w14:val="none"/>
        </w:rPr>
        <w:t xml:space="preserve"> </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账户名：响水县财政局</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账  号：404601040001924</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开户行：中国农业银行响水县支行</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应注明（项目名称、项目编号）履约保证金。 </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采用保函形式提交履约保证金的，保函应满足但不限于以下要求： </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1.中标人名称、项目名称（如有分包，则应当按包件分别出具保函并写明包件号）； </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2.保函需明确受益人为“响水县教育局 ”； </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3.保函的最高担保金额不低于本项目要求提交的履约保证金的金额； </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4.保函担保的有效期应不短于本项目的履约期限； </w:t>
      </w:r>
      <w:r/>
    </w:p>
    <w:p>
      <w:pPr>
        <w:ind w:firstLine="24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5.在收到采购人加盖公章的书面索赔通知后 10 个工作日内，不争辩、不挑剔、不可撤销地向受益人支付索赔款，直至保函担保的最高担保金额。 </w:t>
      </w:r>
      <w:r/>
    </w:p>
    <w:p>
      <w:pPr>
        <w:ind w:firstLine="241"/>
        <w:jc w:val="both"/>
        <w:spacing w:after="0" w:line="360" w:lineRule="auto"/>
        <w:rPr>
          <w:rFonts w:hint="eastAsia" w:ascii="宋体" w:hAnsi="宋体" w:eastAsia="宋体" w:cs="宋体"/>
          <w:sz w:val="21"/>
          <w14:ligatures w14:val="none"/>
        </w:rPr>
      </w:pPr>
      <w:r>
        <w:rPr>
          <w:rFonts w:hint="eastAsia" w:ascii="宋体" w:hAnsi="宋体" w:eastAsia="宋体" w:cs="宋体"/>
          <w:b/>
          <w:bCs/>
          <w:color w:val="000000"/>
          <w:sz w:val="24"/>
          <w14:ligatures w14:val="none"/>
        </w:rPr>
        <w:t xml:space="preserve">履约保证金退还</w:t>
      </w:r>
      <w:r>
        <w:rPr>
          <w:rFonts w:hint="eastAsia" w:ascii="宋体" w:hAnsi="宋体" w:eastAsia="宋体" w:cs="宋体"/>
          <w:color w:val="000000"/>
          <w:sz w:val="24"/>
          <w14:ligatures w14:val="none"/>
        </w:rPr>
        <w:t xml:space="preserve">：履约保证金在项目验收合格正常运行三个月后，采用非保函形式缴纳的履约保证金在 15 个工作日内返还，采用保函形式缴纳的履约保证金在担保有效期后，担保责任终止。递交和退还保函原件时乙方须到甲方现场提供以下证明材 料：①法定代表人授权委托书原件；②委托代理人身份证复印件。采购人逾期退还履约保证金的承担相应法律责任。</w:t>
      </w:r>
      <w:r>
        <w:rPr>
          <w:rFonts w:hint="eastAsia" w:ascii="宋体" w:hAnsi="宋体" w:eastAsia="宋体" w:cs="宋体"/>
          <w:sz w:val="21"/>
          <w14:ligatures w14:val="none"/>
        </w:rPr>
        <w:t xml:space="preserve">                                </w:t>
      </w:r>
      <w:r/>
    </w:p>
    <w:p>
      <w:pPr>
        <w:ind w:firstLine="12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（5）分期履行要求：</w:t>
      </w:r>
      <w:r/>
    </w:p>
    <w:p>
      <w:pPr>
        <w:ind w:firstLine="120"/>
        <w:jc w:val="both"/>
        <w:spacing w:after="0" w:line="360" w:lineRule="auto"/>
        <w:rPr>
          <w:rFonts w:hint="eastAsia" w:ascii="宋体" w:hAnsi="宋体" w:eastAsia="宋体" w:cs="宋体"/>
          <w:color w:val="000000"/>
          <w:sz w:val="24"/>
          <w:u w:val="single"/>
          <w14:ligatures w14:val="none"/>
        </w:rPr>
      </w:pPr>
      <w:r>
        <w:rPr>
          <w:rFonts w:hint="eastAsia" w:ascii="宋体" w:hAnsi="宋体" w:eastAsia="宋体" w:cs="宋体"/>
          <w:color w:val="000000"/>
          <w:sz w:val="24"/>
          <w14:ligatures w14:val="none"/>
        </w:rPr>
        <w:t xml:space="preserve">（6）风险处置措施和替代方案：</w:t>
      </w:r>
      <w:r>
        <w:rPr>
          <w:rFonts w:hint="eastAsia" w:ascii="宋体" w:hAnsi="宋体" w:eastAsia="宋体" w:cs="宋体"/>
          <w:bCs/>
          <w:color w:val="000000"/>
          <w:sz w:val="24"/>
          <w14:ligatures w14:val="none"/>
        </w:rPr>
        <w:t xml:space="preserve">                    </w:t>
      </w:r>
      <w:r/>
    </w:p>
    <w:p>
      <w:pPr>
        <w:jc w:val="both"/>
        <w:spacing w:after="0" w:line="360" w:lineRule="auto"/>
        <w:rPr>
          <w:rFonts w:hint="eastAsia" w:ascii="宋体" w:hAnsi="宋体" w:eastAsia="宋体" w:cs="宋体"/>
          <w:b/>
          <w:sz w:val="24"/>
          <w14:ligatures w14:val="none"/>
        </w:rPr>
      </w:pPr>
      <w:r>
        <w:rPr>
          <w:rFonts w:hint="eastAsia" w:ascii="宋体" w:hAnsi="宋体" w:eastAsia="宋体" w:cs="宋体"/>
          <w:b/>
          <w:sz w:val="24"/>
          <w14:ligatures w14:val="none"/>
        </w:rPr>
        <w:t xml:space="preserve">4、合同验收</w:t>
      </w:r>
      <w:r/>
    </w:p>
    <w:p>
      <w:pPr>
        <w:ind w:firstLine="240"/>
        <w:jc w:val="both"/>
        <w:spacing w:after="0" w:line="360" w:lineRule="auto"/>
        <w:rPr>
          <w:rFonts w:hint="eastAsia" w:ascii="宋体" w:hAnsi="宋体" w:eastAsia="宋体" w:cs="宋体"/>
          <w:bCs/>
          <w:sz w:val="24"/>
          <w14:ligatures w14:val="none"/>
        </w:rPr>
      </w:pPr>
      <w:r>
        <w:rPr>
          <w:rFonts w:hint="eastAsia" w:ascii="宋体" w:hAnsi="宋体" w:eastAsia="宋体" w:cs="宋体"/>
          <w:bCs/>
          <w:sz w:val="24"/>
          <w14:ligatures w14:val="none"/>
        </w:rPr>
        <w:t xml:space="preserve">（1）验收组织方式：</w:t>
      </w: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bCs/>
          <w:sz w:val="24"/>
          <w14:ligatures w14:val="none"/>
        </w:rPr>
        <w:t xml:space="preserve">自行组织 </w:t>
      </w: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bCs/>
          <w:sz w:val="24"/>
          <w14:ligatures w14:val="none"/>
        </w:rPr>
        <w:t xml:space="preserve">委托第三方组织</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bCs/>
          <w:sz w:val="24"/>
          <w14:ligatures w14:val="none"/>
        </w:rPr>
        <w:t xml:space="preserve">验收主体：</w:t>
      </w:r>
      <w:r/>
    </w:p>
    <w:p>
      <w:pPr>
        <w:ind w:firstLine="240"/>
        <w:jc w:val="both"/>
        <w:spacing w:after="0" w:line="360" w:lineRule="auto"/>
        <w:rPr>
          <w:rFonts w:hint="eastAsia" w:ascii="宋体" w:hAnsi="宋体" w:eastAsia="宋体" w:cs="宋体"/>
          <w:bCs/>
          <w:sz w:val="24"/>
          <w14:ligatures w14:val="none"/>
        </w:rPr>
      </w:pPr>
      <w:r>
        <w:rPr>
          <w:rFonts w:hint="eastAsia" w:ascii="宋体" w:hAnsi="宋体" w:eastAsia="宋体" w:cs="宋体"/>
          <w:bCs/>
          <w:sz w:val="24"/>
          <w14:ligatures w14:val="none"/>
        </w:rPr>
        <w:t xml:space="preserve">是否邀请本项目的其他供应商参加验收：</w:t>
      </w: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bCs/>
          <w:sz w:val="24"/>
          <w14:ligatures w14:val="none"/>
        </w:rPr>
        <w:t xml:space="preserve">是  </w:t>
      </w: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bCs/>
          <w:sz w:val="24"/>
          <w14:ligatures w14:val="none"/>
        </w:rPr>
        <w:t xml:space="preserve">否</w:t>
      </w:r>
      <w:r/>
    </w:p>
    <w:p>
      <w:pPr>
        <w:ind w:firstLine="240"/>
        <w:jc w:val="both"/>
        <w:spacing w:after="0" w:line="360" w:lineRule="auto"/>
        <w:rPr>
          <w:rFonts w:hint="eastAsia" w:ascii="宋体" w:hAnsi="宋体" w:eastAsia="宋体" w:cs="宋体"/>
          <w:bCs/>
          <w:sz w:val="24"/>
          <w14:ligatures w14:val="none"/>
        </w:rPr>
      </w:pPr>
      <w:r>
        <w:rPr>
          <w:rFonts w:hint="eastAsia" w:ascii="宋体" w:hAnsi="宋体" w:eastAsia="宋体" w:cs="宋体"/>
          <w:bCs/>
          <w:sz w:val="24"/>
          <w14:ligatures w14:val="none"/>
        </w:rPr>
        <w:t xml:space="preserve">是否邀请专家参加验收：</w:t>
      </w: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bCs/>
          <w:sz w:val="24"/>
          <w14:ligatures w14:val="none"/>
        </w:rPr>
        <w:t xml:space="preserve">是 </w:t>
      </w:r>
      <w:r>
        <w:rPr>
          <w:rFonts w:hint="eastAsia" w:ascii="宋体" w:hAnsi="宋体" w:eastAsia="宋体" w:cs="宋体"/>
          <w:sz w:val="24"/>
          <w14:ligatures w14:val="none"/>
        </w:rPr>
        <w:t xml:space="preserve"></w:t>
      </w:r>
      <w:r>
        <w:rPr>
          <w:rFonts w:hint="eastAsia" w:ascii="宋体" w:hAnsi="宋体" w:eastAsia="宋体" w:cs="宋体"/>
          <w:bCs/>
          <w:sz w:val="24"/>
          <w14:ligatures w14:val="none"/>
        </w:rPr>
        <w:t xml:space="preserve"> 否</w:t>
      </w:r>
      <w:r/>
    </w:p>
    <w:p>
      <w:pPr>
        <w:ind w:firstLine="240"/>
        <w:jc w:val="both"/>
        <w:spacing w:after="0" w:line="360" w:lineRule="auto"/>
        <w:rPr>
          <w:rFonts w:hint="eastAsia" w:ascii="宋体" w:hAnsi="宋体" w:eastAsia="宋体" w:cs="宋体"/>
          <w:bCs/>
          <w:sz w:val="24"/>
          <w14:ligatures w14:val="none"/>
        </w:rPr>
      </w:pPr>
      <w:r>
        <w:rPr>
          <w:rFonts w:hint="eastAsia" w:ascii="宋体" w:hAnsi="宋体" w:eastAsia="宋体" w:cs="宋体"/>
          <w:bCs/>
          <w:sz w:val="24"/>
          <w14:ligatures w14:val="none"/>
        </w:rPr>
        <w:t xml:space="preserve">是否邀请服务对象参加验收：</w:t>
      </w: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bCs/>
          <w:sz w:val="24"/>
          <w14:ligatures w14:val="none"/>
        </w:rPr>
        <w:t xml:space="preserve">是  </w:t>
      </w: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bCs/>
          <w:sz w:val="24"/>
          <w14:ligatures w14:val="none"/>
        </w:rPr>
        <w:t xml:space="preserve">否</w:t>
      </w:r>
      <w:r/>
    </w:p>
    <w:p>
      <w:pPr>
        <w:ind w:firstLine="240"/>
        <w:jc w:val="both"/>
        <w:spacing w:after="0" w:line="360" w:lineRule="auto"/>
        <w:rPr>
          <w:rFonts w:hint="eastAsia" w:ascii="宋体" w:hAnsi="宋体" w:eastAsia="宋体" w:cs="宋体"/>
          <w:bCs/>
          <w:sz w:val="24"/>
          <w14:ligatures w14:val="none"/>
        </w:rPr>
      </w:pPr>
      <w:r>
        <w:rPr>
          <w:rFonts w:hint="eastAsia" w:ascii="宋体" w:hAnsi="宋体" w:eastAsia="宋体" w:cs="宋体"/>
          <w:bCs/>
          <w:sz w:val="24"/>
          <w14:ligatures w14:val="none"/>
        </w:rPr>
        <w:t xml:space="preserve">是否邀请第三方检测机构参加验收：</w:t>
      </w: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bCs/>
          <w:sz w:val="24"/>
          <w14:ligatures w14:val="none"/>
        </w:rPr>
        <w:t xml:space="preserve">是  </w:t>
      </w: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bCs/>
          <w:sz w:val="24"/>
          <w14:ligatures w14:val="none"/>
        </w:rPr>
        <w:t xml:space="preserve">否</w:t>
      </w:r>
      <w:r/>
    </w:p>
    <w:p>
      <w:pPr>
        <w:ind w:firstLine="240"/>
        <w:jc w:val="both"/>
        <w:spacing w:after="0" w:line="360" w:lineRule="auto"/>
        <w:rPr>
          <w:rFonts w:hint="eastAsia" w:ascii="宋体" w:hAnsi="宋体" w:eastAsia="宋体" w:cs="宋体"/>
          <w:bCs/>
          <w:sz w:val="24"/>
          <w14:ligatures w14:val="none"/>
        </w:rPr>
      </w:pPr>
      <w:r>
        <w:rPr>
          <w:rFonts w:hint="eastAsia" w:ascii="宋体" w:hAnsi="宋体" w:eastAsia="宋体" w:cs="宋体"/>
          <w:bCs/>
          <w:sz w:val="24"/>
          <w14:ligatures w14:val="none"/>
        </w:rPr>
        <w:t xml:space="preserve">是否进行抽查检测：</w:t>
      </w: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bCs/>
          <w:sz w:val="24"/>
          <w14:ligatures w14:val="none"/>
        </w:rPr>
        <w:t xml:space="preserve">是，抽查比例：</w:t>
      </w: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bCs/>
          <w:sz w:val="24"/>
          <w14:ligatures w14:val="none"/>
        </w:rPr>
        <w:t xml:space="preserve">否</w:t>
      </w:r>
      <w:r/>
    </w:p>
    <w:p>
      <w:pPr>
        <w:ind w:firstLine="240"/>
        <w:jc w:val="both"/>
        <w:spacing w:after="0" w:line="360" w:lineRule="auto"/>
        <w:rPr>
          <w:rFonts w:hint="eastAsia" w:ascii="宋体" w:hAnsi="宋体" w:eastAsia="宋体" w:cs="宋体"/>
          <w:bCs/>
          <w:sz w:val="24"/>
          <w:u w:val="single"/>
          <w14:ligatures w14:val="none"/>
        </w:rPr>
      </w:pPr>
      <w:r>
        <w:rPr>
          <w:rFonts w:hint="eastAsia" w:ascii="宋体" w:hAnsi="宋体" w:eastAsia="宋体" w:cs="宋体"/>
          <w:bCs/>
          <w:sz w:val="24"/>
          <w14:ligatures w14:val="none"/>
        </w:rPr>
        <w:t xml:space="preserve">是否存在破坏性检测：</w:t>
      </w: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bCs/>
          <w:sz w:val="24"/>
          <w14:ligatures w14:val="none"/>
        </w:rPr>
        <w:t xml:space="preserve">是，</w:t>
      </w:r>
      <w:r>
        <w:rPr>
          <w:rFonts w:hint="eastAsia" w:ascii="宋体" w:hAnsi="宋体" w:eastAsia="宋体" w:cs="宋体"/>
          <w:bCs/>
          <w:sz w:val="24"/>
          <w:u w:val="single"/>
          <w14:ligatures w14:val="none"/>
        </w:rPr>
        <w:t xml:space="preserve">（应明确对被破坏的检测产品的处理方式）</w:t>
      </w:r>
      <w:r/>
    </w:p>
    <w:p>
      <w:pPr>
        <w:ind w:firstLine="240"/>
        <w:jc w:val="both"/>
        <w:spacing w:after="0" w:line="360" w:lineRule="auto"/>
        <w:rPr>
          <w:rFonts w:hint="eastAsia" w:ascii="宋体" w:hAnsi="宋体" w:eastAsia="宋体" w:cs="宋体"/>
          <w:bCs/>
          <w:sz w:val="24"/>
          <w:u w:val="single"/>
          <w14:ligatures w14:val="none"/>
        </w:rPr>
      </w:pPr>
      <w:r>
        <w:rPr>
          <w:rFonts w:ascii="Wingdings" w:hAnsi="Wingdings" w:eastAsia="Wingdings" w:cs="Wingdings"/>
          <w:sz w:val="24"/>
          <w14:ligatures w14:val="none"/>
        </w:rPr>
        <w:t xml:space="preserve">¨</w:t>
      </w:r>
      <w:r>
        <w:rPr>
          <w:rFonts w:hint="eastAsia" w:ascii="宋体" w:hAnsi="宋体" w:eastAsia="宋体" w:cs="宋体"/>
          <w:bCs/>
          <w:sz w:val="24"/>
          <w14:ligatures w14:val="none"/>
        </w:rPr>
        <w:t xml:space="preserve">否</w:t>
      </w:r>
      <w:r/>
    </w:p>
    <w:p>
      <w:pPr>
        <w:ind w:firstLine="240"/>
        <w:jc w:val="both"/>
        <w:spacing w:after="0" w:line="360" w:lineRule="auto"/>
        <w:rPr>
          <w:rFonts w:hint="eastAsia" w:ascii="宋体" w:hAnsi="宋体" w:eastAsia="宋体" w:cs="宋体"/>
          <w:bCs/>
          <w:sz w:val="24"/>
          <w:u w:val="single"/>
          <w14:ligatures w14:val="none"/>
        </w:rPr>
      </w:pPr>
      <w:r>
        <w:rPr>
          <w:rFonts w:hint="eastAsia" w:ascii="宋体" w:hAnsi="宋体" w:eastAsia="宋体" w:cs="宋体"/>
          <w:bCs/>
          <w:sz w:val="24"/>
          <w14:ligatures w14:val="none"/>
        </w:rPr>
        <w:t xml:space="preserve">验收组织的其他事项：</w:t>
      </w:r>
      <w:r/>
    </w:p>
    <w:p>
      <w:pPr>
        <w:ind w:firstLine="240"/>
        <w:jc w:val="both"/>
        <w:spacing w:after="0" w:line="360" w:lineRule="auto"/>
        <w:rPr>
          <w:rFonts w:hint="eastAsia" w:ascii="宋体" w:hAnsi="宋体" w:eastAsia="宋体" w:cs="宋体"/>
          <w:bCs/>
          <w:sz w:val="24"/>
          <w:u w:val="single"/>
          <w14:ligatures w14:val="none"/>
        </w:rPr>
      </w:pPr>
      <w:r>
        <w:rPr>
          <w:rFonts w:hint="eastAsia" w:ascii="宋体" w:hAnsi="宋体" w:eastAsia="宋体" w:cs="宋体"/>
          <w:bCs/>
          <w:sz w:val="24"/>
          <w14:ligatures w14:val="none"/>
        </w:rPr>
        <w:t xml:space="preserve">（2）履约验收时间：</w:t>
      </w:r>
      <w:r>
        <w:rPr>
          <w:rFonts w:hint="eastAsia" w:ascii="宋体" w:hAnsi="宋体" w:eastAsia="宋体" w:cs="宋体"/>
          <w:bCs/>
          <w:sz w:val="24"/>
          <w:u w:val="single"/>
          <w14:ligatures w14:val="none"/>
        </w:rPr>
        <w:t xml:space="preserve">（计划于何时验收/供应商提出验收申请之日起   日内组织验收）</w:t>
      </w:r>
      <w:r/>
    </w:p>
    <w:p>
      <w:pPr>
        <w:ind w:firstLine="240"/>
        <w:jc w:val="both"/>
        <w:spacing w:after="0" w:line="360" w:lineRule="auto"/>
        <w:rPr>
          <w:rFonts w:hint="eastAsia" w:ascii="宋体" w:hAnsi="宋体" w:eastAsia="宋体" w:cs="宋体"/>
          <w:bCs/>
          <w:sz w:val="24"/>
          <w14:ligatures w14:val="none"/>
        </w:rPr>
      </w:pPr>
      <w:r>
        <w:rPr>
          <w:rFonts w:hint="eastAsia" w:ascii="宋体" w:hAnsi="宋体" w:eastAsia="宋体" w:cs="宋体"/>
          <w:bCs/>
          <w:sz w:val="24"/>
          <w14:ligatures w14:val="none"/>
        </w:rPr>
        <w:t xml:space="preserve">（3）履约验收方式：</w:t>
      </w:r>
      <w:r>
        <w:rPr>
          <w:rFonts w:hint="eastAsia" w:ascii="宋体" w:hAnsi="宋体" w:eastAsia="宋体" w:cs="宋体"/>
          <w:sz w:val="24"/>
          <w14:ligatures w14:val="none"/>
        </w:rPr>
        <w:t xml:space="preserve"></w:t>
      </w:r>
      <w:r>
        <w:rPr>
          <w:rFonts w:hint="eastAsia" w:ascii="宋体" w:hAnsi="宋体" w:eastAsia="宋体" w:cs="宋体"/>
          <w:bCs/>
          <w:sz w:val="24"/>
          <w14:ligatures w14:val="none"/>
        </w:rPr>
        <w:t xml:space="preserve">一次性验收 </w:t>
      </w:r>
      <w:r/>
    </w:p>
    <w:p>
      <w:pPr>
        <w:ind w:firstLine="240"/>
        <w:jc w:val="both"/>
        <w:spacing w:after="0" w:line="360" w:lineRule="auto"/>
        <w:rPr>
          <w:rFonts w:hint="eastAsia" w:ascii="宋体" w:hAnsi="宋体" w:eastAsia="宋体" w:cs="宋体"/>
          <w:bCs/>
          <w:sz w:val="24"/>
          <w14:ligatures w14:val="none"/>
        </w:rPr>
      </w:pPr>
      <w:r>
        <w:rPr>
          <w:rFonts w:hint="eastAsia" w:ascii="宋体" w:hAnsi="宋体" w:eastAsia="宋体" w:cs="宋体"/>
          <w:bCs/>
          <w:sz w:val="24"/>
          <w14:ligatures w14:val="none"/>
        </w:rPr>
        <w:t xml:space="preserve"> </w:t>
      </w:r>
      <w:r>
        <w:rPr>
          <w:rFonts w:hint="eastAsia" w:ascii="宋体" w:hAnsi="宋体" w:eastAsia="宋体" w:cs="宋体"/>
          <w:sz w:val="24"/>
          <w14:ligatures w14:val="none"/>
        </w:rPr>
        <w:t xml:space="preserve"></w:t>
      </w:r>
      <w:r>
        <w:rPr>
          <w:rFonts w:hint="eastAsia" w:ascii="宋体" w:hAnsi="宋体" w:eastAsia="宋体" w:cs="宋体"/>
          <w:bCs/>
          <w:sz w:val="24"/>
          <w14:ligatures w14:val="none"/>
        </w:rPr>
        <w:t xml:space="preserve">分期/分项验收：</w:t>
      </w:r>
      <w:r>
        <w:rPr>
          <w:rFonts w:hint="eastAsia" w:ascii="宋体" w:hAnsi="宋体" w:eastAsia="宋体" w:cs="宋体"/>
          <w:bCs/>
          <w:sz w:val="24"/>
          <w:u w:val="single"/>
          <w14:ligatures w14:val="none"/>
        </w:rPr>
        <w:t xml:space="preserve">（应明确分期/分项验收的工作安排）</w:t>
      </w:r>
      <w:r/>
    </w:p>
    <w:p>
      <w:pPr>
        <w:ind w:firstLine="240"/>
        <w:jc w:val="both"/>
        <w:spacing w:after="0" w:line="360" w:lineRule="auto"/>
        <w:rPr>
          <w:rFonts w:hint="eastAsia" w:ascii="宋体" w:hAnsi="宋体" w:eastAsia="宋体" w:cs="宋体"/>
          <w:bCs/>
          <w:sz w:val="24"/>
          <w14:ligatures w14:val="none"/>
        </w:rPr>
      </w:pPr>
      <w:r>
        <w:rPr>
          <w:rFonts w:hint="eastAsia" w:ascii="宋体" w:hAnsi="宋体" w:eastAsia="宋体" w:cs="宋体"/>
          <w:bCs/>
          <w:sz w:val="24"/>
          <w14:ligatures w14:val="none"/>
        </w:rPr>
        <w:t xml:space="preserve">（4）履约验收程序：</w:t>
      </w:r>
      <w:r/>
    </w:p>
    <w:p>
      <w:pPr>
        <w:ind w:firstLine="240"/>
        <w:jc w:val="both"/>
        <w:spacing w:after="0" w:line="360" w:lineRule="auto"/>
        <w:rPr>
          <w:rFonts w:hint="eastAsia" w:ascii="宋体" w:hAnsi="宋体" w:eastAsia="宋体" w:cs="宋体"/>
          <w:bCs/>
          <w:sz w:val="24"/>
          <w:u w:val="single"/>
          <w14:ligatures w14:val="none"/>
        </w:rPr>
      </w:pPr>
      <w:r>
        <w:rPr>
          <w:rFonts w:hint="eastAsia" w:ascii="宋体" w:hAnsi="宋体" w:eastAsia="宋体" w:cs="宋体"/>
          <w:bCs/>
          <w:sz w:val="24"/>
          <w14:ligatures w14:val="none"/>
        </w:rPr>
        <w:t xml:space="preserve">（5）履约验收的内容：</w:t>
      </w:r>
      <w:r>
        <w:rPr>
          <w:rFonts w:hint="eastAsia" w:ascii="宋体" w:hAnsi="宋体" w:eastAsia="宋体" w:cs="宋体"/>
          <w:bCs/>
          <w:sz w:val="24"/>
          <w:u w:val="single"/>
          <w14:ligatures w14:val="none"/>
        </w:rPr>
        <w:t xml:space="preserve">（应当包括每一项技术和商务要求的履约情况，特别是落实政府采购扶持中小企业，支持绿色发展和乡村振兴等政策情况）</w:t>
      </w:r>
      <w:r/>
    </w:p>
    <w:p>
      <w:pPr>
        <w:numPr>
          <w:ilvl w:val="0"/>
          <w:numId w:val="4"/>
        </w:numPr>
        <w:jc w:val="both"/>
        <w:spacing w:after="0" w:line="360" w:lineRule="auto"/>
        <w:rPr>
          <w:rFonts w:hint="eastAsia" w:ascii="宋体" w:hAnsi="宋体" w:eastAsia="宋体" w:cs="宋体"/>
          <w:bCs/>
          <w:sz w:val="24"/>
          <w:u w:val="single"/>
          <w14:ligatures w14:val="none"/>
        </w:rPr>
      </w:pPr>
      <w:r>
        <w:rPr>
          <w:rFonts w:hint="eastAsia" w:ascii="宋体" w:hAnsi="宋体" w:eastAsia="宋体" w:cs="宋体"/>
          <w:bCs/>
          <w:sz w:val="24"/>
          <w14:ligatures w14:val="none"/>
        </w:rPr>
        <w:t xml:space="preserve">履约验收标准：</w:t>
      </w:r>
      <w:r/>
    </w:p>
    <w:p>
      <w:pPr>
        <w:ind w:firstLine="240"/>
        <w:spacing w:after="0" w:line="360" w:lineRule="auto"/>
        <w:widowControl/>
        <w:rPr>
          <w:rFonts w:hint="eastAsia" w:ascii="宋体" w:hAnsi="宋体" w:eastAsia="宋体" w:cs="宋体"/>
          <w:sz w:val="24"/>
          <w14:ligatures w14:val="none"/>
        </w:rPr>
      </w:pPr>
      <w:r>
        <w:rPr>
          <w:rFonts w:hint="eastAsia" w:ascii="宋体" w:hAnsi="宋体" w:eastAsia="宋体" w:cs="宋体"/>
          <w:bCs/>
          <w:sz w:val="24"/>
          <w14:ligatures w14:val="none"/>
        </w:rPr>
        <w:t xml:space="preserve">（7）是否以采购活动中供应商提供的样品作为参考：</w:t>
      </w: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bCs/>
          <w:sz w:val="24"/>
          <w14:ligatures w14:val="none"/>
        </w:rPr>
        <w:t xml:space="preserve">是  </w:t>
      </w:r>
      <w:r>
        <w:rPr>
          <w:rFonts w:hint="eastAsia" w:ascii="宋体" w:hAnsi="宋体" w:eastAsia="宋体" w:cs="宋体"/>
          <w:sz w:val="24"/>
          <w14:ligatures w14:val="none"/>
        </w:rPr>
        <w:t xml:space="preserve"></w:t>
      </w:r>
      <w:r>
        <w:rPr>
          <w:rFonts w:ascii="Wingdings" w:hAnsi="Wingdings" w:eastAsia="Wingdings" w:cs="Wingdings"/>
          <w:sz w:val="24"/>
          <w14:ligatures w14:val="none"/>
        </w:rPr>
        <w:t xml:space="preserve">¨</w:t>
      </w:r>
      <w:r>
        <w:rPr>
          <w:rFonts w:hint="eastAsia" w:ascii="宋体" w:hAnsi="宋体" w:eastAsia="宋体" w:cs="宋体"/>
          <w:bCs/>
          <w:sz w:val="24"/>
          <w14:ligatures w14:val="none"/>
        </w:rPr>
        <w:t xml:space="preserve">否</w:t>
      </w:r>
      <w:r/>
    </w:p>
    <w:p>
      <w:pPr>
        <w:ind w:firstLine="240"/>
        <w:jc w:val="both"/>
        <w:spacing w:after="0" w:line="360" w:lineRule="auto"/>
        <w:rPr>
          <w:rFonts w:hint="eastAsia" w:ascii="宋体" w:hAnsi="宋体" w:eastAsia="宋体" w:cs="宋体"/>
          <w:bCs/>
          <w:sz w:val="24"/>
          <w:u w:val="single"/>
          <w14:ligatures w14:val="none"/>
        </w:rPr>
      </w:pPr>
      <w:r>
        <w:rPr>
          <w:rFonts w:hint="eastAsia" w:ascii="宋体" w:hAnsi="宋体" w:eastAsia="宋体" w:cs="宋体"/>
          <w:bCs/>
          <w:sz w:val="24"/>
          <w14:ligatures w14:val="none"/>
        </w:rPr>
        <w:t xml:space="preserve">（8）履约验收其他事项：</w:t>
      </w:r>
      <w:r>
        <w:rPr>
          <w:rFonts w:hint="eastAsia" w:ascii="宋体" w:hAnsi="宋体" w:eastAsia="宋体" w:cs="宋体"/>
          <w:bCs/>
          <w:sz w:val="24"/>
          <w:u w:val="single"/>
          <w14:ligatures w14:val="none"/>
        </w:rPr>
        <w:t xml:space="preserve">（产权过户登记等）</w:t>
      </w:r>
      <w:r/>
    </w:p>
    <w:p>
      <w:pPr>
        <w:jc w:val="both"/>
        <w:spacing w:after="0" w:line="360" w:lineRule="auto"/>
        <w:rPr>
          <w:rFonts w:hint="eastAsia" w:ascii="宋体" w:hAnsi="宋体" w:eastAsia="宋体" w:cs="宋体"/>
          <w:b/>
          <w:sz w:val="24"/>
          <w14:ligatures w14:val="none"/>
        </w:rPr>
      </w:pPr>
      <w:r>
        <w:rPr>
          <w:rFonts w:hint="eastAsia" w:ascii="宋体" w:hAnsi="宋体" w:eastAsia="宋体" w:cs="宋体"/>
          <w:b/>
          <w:sz w:val="24"/>
          <w14:ligatures w14:val="none"/>
        </w:rPr>
        <w:t xml:space="preserve">5、组成合同的文件</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本协议书与下列文件一起构成合同文件，如下述文件之间有任何抵触、矛盾或歧义，应按以下顺序解释：</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（1）政府采购合同协议书及其变更、补充协议</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（2）政府采购合同专用条款</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（3）政府采购合同通用条款</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（4）中标（成交）通知书</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（5）投标（响应）文件</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（6）采购文件</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（7）有关技术文件，图纸</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（8）国家法律、行政法规和规章制度规定或合同约定的作为合同组成部分的其他文件</w:t>
      </w:r>
      <w:r/>
    </w:p>
    <w:p>
      <w:pPr>
        <w:jc w:val="both"/>
        <w:spacing w:after="0" w:line="360" w:lineRule="auto"/>
        <w:rPr>
          <w:rFonts w:hint="eastAsia" w:ascii="宋体" w:hAnsi="宋体" w:eastAsia="宋体" w:cs="宋体"/>
          <w:b/>
          <w:sz w:val="24"/>
          <w14:ligatures w14:val="none"/>
        </w:rPr>
      </w:pPr>
      <w:r>
        <w:rPr>
          <w:rFonts w:hint="eastAsia" w:ascii="宋体" w:hAnsi="宋体" w:eastAsia="宋体" w:cs="宋体"/>
          <w:b/>
          <w:sz w:val="24"/>
          <w14:ligatures w14:val="none"/>
        </w:rPr>
        <w:t xml:space="preserve">7、合同生效</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本合同自</w:t>
      </w:r>
      <w:r>
        <w:rPr>
          <w:rFonts w:hint="eastAsia" w:ascii="宋体" w:hAnsi="宋体" w:eastAsia="宋体" w:cs="宋体"/>
          <w:sz w:val="24"/>
          <w:u w:val="single"/>
          <w:lang w:val="en-US" w:eastAsia="zh-CN"/>
          <w14:ligatures w14:val="none"/>
        </w:rPr>
        <w:t xml:space="preserve">  </w:t>
      </w:r>
      <w:r>
        <w:rPr>
          <w:rFonts w:hint="eastAsia" w:ascii="宋体" w:hAnsi="宋体" w:eastAsia="宋体" w:cs="宋体"/>
          <w:sz w:val="24"/>
          <w14:ligatures w14:val="none"/>
        </w:rPr>
        <w:t xml:space="preserve">年</w:t>
      </w:r>
      <w:r>
        <w:rPr>
          <w:rFonts w:hint="eastAsia" w:ascii="宋体" w:hAnsi="宋体" w:eastAsia="宋体" w:cs="宋体"/>
          <w:sz w:val="24"/>
          <w:u w:val="single"/>
          <w:lang w:val="en-US" w:eastAsia="zh-CN"/>
          <w14:ligatures w14:val="none"/>
        </w:rPr>
        <w:t xml:space="preserve">  </w:t>
      </w:r>
      <w:r>
        <w:rPr>
          <w:rFonts w:hint="eastAsia" w:ascii="宋体" w:hAnsi="宋体" w:eastAsia="宋体" w:cs="宋体"/>
          <w:sz w:val="24"/>
          <w14:ligatures w14:val="none"/>
        </w:rPr>
        <w:t xml:space="preserve">月</w:t>
      </w:r>
      <w:r>
        <w:rPr>
          <w:rFonts w:hint="eastAsia" w:ascii="宋体" w:hAnsi="宋体" w:eastAsia="宋体" w:cs="宋体"/>
          <w:sz w:val="24"/>
          <w:u w:val="single"/>
          <w:lang w:val="en-US" w:eastAsia="zh-CN"/>
          <w14:ligatures w14:val="none"/>
        </w:rPr>
        <w:t xml:space="preserve">  </w:t>
      </w:r>
      <w:r>
        <w:rPr>
          <w:rFonts w:hint="eastAsia" w:ascii="宋体" w:hAnsi="宋体" w:eastAsia="宋体" w:cs="宋体"/>
          <w:sz w:val="24"/>
          <w14:ligatures w14:val="none"/>
        </w:rPr>
        <w:t xml:space="preserve">日生效。</w:t>
      </w:r>
      <w:r/>
    </w:p>
    <w:p>
      <w:pPr>
        <w:ind w:firstLine="120"/>
        <w:jc w:val="both"/>
        <w:spacing w:after="0" w:line="360" w:lineRule="auto"/>
        <w:rPr>
          <w:rFonts w:hint="eastAsia" w:ascii="宋体" w:hAnsi="宋体" w:eastAsia="宋体" w:cs="宋体"/>
          <w:b/>
          <w:sz w:val="24"/>
          <w14:ligatures w14:val="none"/>
        </w:rPr>
      </w:pPr>
      <w:r>
        <w:rPr>
          <w:rFonts w:hint="eastAsia" w:ascii="宋体" w:hAnsi="宋体" w:eastAsia="宋体" w:cs="宋体"/>
          <w:b/>
          <w:sz w:val="24"/>
          <w14:ligatures w14:val="none"/>
        </w:rPr>
        <w:t xml:space="preserve">8.合同份数</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本合同一式份，甲方执份，乙方执份，均具有同等法律效力。</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合同订立时间：</w:t>
      </w:r>
      <w:r>
        <w:rPr>
          <w:rFonts w:hint="eastAsia" w:ascii="宋体" w:hAnsi="宋体" w:eastAsia="宋体" w:cs="宋体"/>
          <w:sz w:val="24"/>
          <w:u w:val="single"/>
          <w:lang w:val="en-US" w:eastAsia="zh-CN"/>
          <w14:ligatures w14:val="none"/>
        </w:rPr>
        <w:t xml:space="preserve">  </w:t>
      </w:r>
      <w:r>
        <w:rPr>
          <w:rFonts w:hint="eastAsia" w:ascii="宋体" w:hAnsi="宋体" w:eastAsia="宋体" w:cs="宋体"/>
          <w:sz w:val="24"/>
          <w14:ligatures w14:val="none"/>
        </w:rPr>
        <w:t xml:space="preserve">年</w:t>
      </w:r>
      <w:r>
        <w:rPr>
          <w:rFonts w:hint="eastAsia" w:ascii="宋体" w:hAnsi="宋体" w:eastAsia="宋体" w:cs="宋体"/>
          <w:sz w:val="24"/>
          <w:u w:val="single"/>
          <w:lang w:val="en-US" w:eastAsia="zh-CN"/>
          <w14:ligatures w14:val="none"/>
        </w:rPr>
        <w:t xml:space="preserve">  </w:t>
      </w:r>
      <w:r>
        <w:rPr>
          <w:rFonts w:hint="eastAsia" w:ascii="宋体" w:hAnsi="宋体" w:eastAsia="宋体" w:cs="宋体"/>
          <w:sz w:val="24"/>
          <w14:ligatures w14:val="none"/>
        </w:rPr>
        <w:t xml:space="preserve">月</w:t>
      </w:r>
      <w:r>
        <w:rPr>
          <w:rFonts w:hint="eastAsia" w:ascii="宋体" w:hAnsi="宋体" w:eastAsia="宋体" w:cs="宋体"/>
          <w:sz w:val="24"/>
          <w:u w:val="single"/>
          <w:lang w:val="en-US" w:eastAsia="zh-CN"/>
          <w14:ligatures w14:val="none"/>
        </w:rPr>
        <w:t xml:space="preserve">  </w:t>
      </w:r>
      <w:r>
        <w:rPr>
          <w:rFonts w:hint="eastAsia" w:ascii="宋体" w:hAnsi="宋体" w:eastAsia="宋体" w:cs="宋体"/>
          <w:sz w:val="24"/>
          <w14:ligatures w14:val="none"/>
        </w:rPr>
        <w:t xml:space="preserve">日</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合同订立地点：</w:t>
      </w:r>
      <w:r/>
    </w:p>
    <w:p>
      <w:pPr>
        <w:ind w:firstLine="24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附件：具体标的及其技术要求和商务要求、联合协议、分包意向协议等。</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bookmarkEnd w:id="176"/>
      <w:bookmarkEnd w:id="177"/>
      <w:bookmarkEnd w:id="178"/>
      <w:bookmarkEnd w:id="179"/>
      <w:bookmarkEnd w:id="180"/>
      <w:bookmarkEnd w:id="181"/>
      <w:r/>
    </w:p>
    <w:p>
      <w:pPr>
        <w:ind w:firstLine="420"/>
        <w:jc w:val="both"/>
        <w:spacing w:after="0" w:line="360" w:lineRule="auto"/>
        <w:rPr>
          <w:rFonts w:hint="eastAsia" w:ascii="宋体" w:hAnsi="宋体" w:eastAsia="宋体" w:cs="宋体"/>
          <w:sz w:val="21"/>
          <w:szCs w:val="21"/>
          <w14:ligatures w14:val="none"/>
        </w:rPr>
      </w:pPr>
      <w:r/>
      <w:bookmarkStart w:id="186" w:name="OLE_LINK61"/>
      <w:r/>
      <w:bookmarkStart w:id="187" w:name="_Toc120614281"/>
      <w:r/>
      <w:bookmarkStart w:id="188" w:name="_Hlt26671244"/>
      <w:r/>
      <w:bookmarkStart w:id="189" w:name="_Hlt26955039"/>
      <w:r/>
      <w:bookmarkStart w:id="190" w:name="_Toc26554094"/>
      <w:r>
        <w:rPr>
          <w:rFonts w:hint="eastAsia" w:ascii="宋体" w:hAnsi="宋体" w:eastAsia="宋体" w:cs="宋体"/>
          <w:bCs/>
          <w:sz w:val="44"/>
          <w:szCs w:val="28"/>
          <w14:ligatures w14:val="none"/>
        </w:rPr>
        <w:br w:type="page" w:clear="all"/>
      </w:r>
      <w:r/>
    </w:p>
    <w:tbl>
      <w:tblPr>
        <w:tblStyle w:val="790"/>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乙方（供应商）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单位名称（公章或合同章）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after="0" w:line="360" w:lineRule="auto"/>
              <w:rPr>
                <w:rFonts w:hint="eastAsia" w:ascii="宋体" w:hAnsi="宋体" w:eastAsia="宋体" w:cs="宋体"/>
                <w:spacing w:val="20"/>
                <w:sz w:val="24"/>
                <w14:ligatures w14:val="none"/>
              </w:rPr>
            </w:pPr>
            <w:r>
              <w:rPr>
                <w:rFonts w:hint="eastAsia" w:ascii="宋体" w:hAnsi="宋体" w:eastAsia="宋体" w:cs="宋体"/>
                <w:spacing w:val="20"/>
                <w:sz w:val="24"/>
                <w14:ligatures w14: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法定代表人</w:t>
            </w:r>
            <w:r/>
          </w:p>
          <w:p>
            <w:pPr>
              <w:ind w:firstLine="115"/>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或其委托代理人（签章）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法定代表人</w:t>
            </w:r>
            <w:r/>
          </w:p>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或其委托代理人（签章）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after="0" w:line="360" w:lineRule="auto"/>
              <w:rPr>
                <w:rFonts w:hint="eastAsia" w:ascii="宋体" w:hAnsi="宋体" w:eastAsia="宋体" w:cs="宋体"/>
                <w:spacing w:val="20"/>
                <w:sz w:val="24"/>
                <w14:ligatures w14:val="none"/>
              </w:rPr>
            </w:pPr>
            <w:r>
              <w:rPr>
                <w:rFonts w:hint="eastAsia" w:ascii="宋体" w:hAnsi="宋体" w:eastAsia="宋体" w:cs="宋体"/>
                <w:spacing w:val="20"/>
                <w:sz w:val="24"/>
                <w14:ligatures w14: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after="0" w:line="360" w:lineRule="auto"/>
              <w:rPr>
                <w:rFonts w:hint="eastAsia" w:ascii="宋体" w:hAnsi="宋体" w:eastAsia="宋体" w:cs="宋体"/>
                <w:spacing w:val="20"/>
                <w:sz w:val="24"/>
                <w14:ligatures w14:val="none"/>
              </w:rPr>
            </w:pPr>
            <w:r>
              <w:rPr>
                <w:rFonts w:hint="eastAsia" w:ascii="宋体" w:hAnsi="宋体" w:eastAsia="宋体" w:cs="宋体"/>
                <w:spacing w:val="20"/>
                <w:sz w:val="24"/>
                <w14:ligatures w14: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after="0" w:line="360" w:lineRule="auto"/>
              <w:rPr>
                <w:rFonts w:hint="eastAsia" w:ascii="宋体" w:hAnsi="宋体" w:eastAsia="宋体" w:cs="宋体"/>
                <w:spacing w:val="20"/>
                <w:sz w:val="24"/>
                <w14:ligatures w14:val="none"/>
              </w:rPr>
            </w:pPr>
            <w:r>
              <w:rPr>
                <w:rFonts w:hint="eastAsia" w:ascii="宋体" w:hAnsi="宋体" w:eastAsia="宋体" w:cs="宋体"/>
                <w:spacing w:val="20"/>
                <w:sz w:val="24"/>
                <w14:ligatures w14: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after="0" w:line="360" w:lineRule="auto"/>
              <w:rPr>
                <w:rFonts w:hint="eastAsia" w:ascii="宋体" w:hAnsi="宋体" w:eastAsia="宋体" w:cs="宋体"/>
                <w:spacing w:val="20"/>
                <w:sz w:val="24"/>
                <w14:ligatures w14:val="none"/>
              </w:rPr>
            </w:pPr>
            <w:r>
              <w:rPr>
                <w:rFonts w:hint="eastAsia" w:ascii="宋体" w:hAnsi="宋体" w:eastAsia="宋体" w:cs="宋体"/>
                <w:spacing w:val="20"/>
                <w:sz w:val="24"/>
                <w14:ligatures w14: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after="0" w:line="360" w:lineRule="auto"/>
              <w:rPr>
                <w:rFonts w:hint="eastAsia" w:ascii="宋体" w:hAnsi="宋体" w:eastAsia="宋体" w:cs="宋体"/>
                <w:spacing w:val="20"/>
                <w:sz w:val="24"/>
                <w14:ligatures w14:val="none"/>
              </w:rPr>
            </w:pPr>
            <w:r>
              <w:rPr>
                <w:rFonts w:hint="eastAsia" w:ascii="宋体" w:hAnsi="宋体" w:eastAsia="宋体" w:cs="宋体"/>
                <w:spacing w:val="20"/>
                <w:sz w:val="24"/>
                <w14:ligatures w14: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after="0" w:line="360" w:lineRule="auto"/>
              <w:rPr>
                <w:rFonts w:hint="eastAsia" w:ascii="宋体" w:hAnsi="宋体" w:eastAsia="宋体" w:cs="宋体"/>
                <w:spacing w:val="20"/>
                <w:sz w:val="24"/>
                <w14:ligatures w14:val="none"/>
              </w:rPr>
            </w:pPr>
            <w:r>
              <w:rPr>
                <w:rFonts w:hint="eastAsia" w:ascii="宋体" w:hAnsi="宋体" w:eastAsia="宋体" w:cs="宋体"/>
                <w:spacing w:val="20"/>
                <w:sz w:val="24"/>
                <w14:ligatures w14: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after="0" w:line="360" w:lineRule="auto"/>
              <w:rPr>
                <w:rFonts w:hint="eastAsia" w:ascii="宋体" w:hAnsi="宋体" w:eastAsia="宋体" w:cs="宋体"/>
                <w:spacing w:val="20"/>
                <w:sz w:val="24"/>
                <w14:ligatures w14:val="none"/>
              </w:rPr>
            </w:pPr>
            <w:r>
              <w:rPr>
                <w:rFonts w:hint="eastAsia" w:ascii="宋体" w:hAnsi="宋体" w:eastAsia="宋体" w:cs="宋体"/>
                <w:spacing w:val="20"/>
                <w:sz w:val="24"/>
                <w14:ligatures w14: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after="0" w:line="360" w:lineRule="auto"/>
              <w:rPr>
                <w:rFonts w:hint="eastAsia" w:ascii="宋体" w:hAnsi="宋体" w:eastAsia="宋体" w:cs="宋体"/>
                <w:spacing w:val="20"/>
                <w:sz w:val="24"/>
                <w14:ligatures w14:val="none"/>
              </w:rPr>
            </w:pPr>
            <w:r>
              <w:rPr>
                <w:rFonts w:hint="eastAsia" w:ascii="宋体" w:hAnsi="宋体" w:eastAsia="宋体" w:cs="宋体"/>
                <w:spacing w:val="20"/>
                <w:sz w:val="24"/>
                <w14:ligatures w14: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after="0" w:line="360" w:lineRule="auto"/>
              <w:rPr>
                <w:rFonts w:hint="eastAsia" w:ascii="宋体" w:hAnsi="宋体" w:eastAsia="宋体" w:cs="宋体"/>
                <w:spacing w:val="20"/>
                <w:sz w:val="24"/>
                <w14:ligatures w14:val="none"/>
              </w:rPr>
            </w:pPr>
            <w:r>
              <w:rPr>
                <w:rFonts w:hint="eastAsia" w:ascii="宋体" w:hAnsi="宋体" w:eastAsia="宋体" w:cs="宋体"/>
                <w:spacing w:val="20"/>
                <w:sz w:val="24"/>
                <w14:ligatures w14: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after="0" w:line="360" w:lineRule="auto"/>
              <w:rPr>
                <w:rFonts w:hint="eastAsia" w:ascii="宋体" w:hAnsi="宋体" w:eastAsia="宋体" w:cs="宋体"/>
                <w:spacing w:val="20"/>
                <w:sz w:val="24"/>
                <w14:ligatures w14:val="none"/>
              </w:rPr>
            </w:pPr>
            <w:r>
              <w:rPr>
                <w:rFonts w:hint="eastAsia" w:ascii="宋体" w:hAnsi="宋体" w:eastAsia="宋体" w:cs="宋体"/>
                <w:spacing w:val="20"/>
                <w:sz w:val="24"/>
                <w14:ligatures w14: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after="0" w:line="360" w:lineRule="auto"/>
              <w:rPr>
                <w:rFonts w:hint="eastAsia" w:ascii="宋体" w:hAnsi="宋体" w:eastAsia="宋体" w:cs="宋体"/>
                <w:spacing w:val="20"/>
                <w:sz w:val="24"/>
                <w14:ligatures w14:val="none"/>
              </w:rPr>
            </w:pPr>
            <w:r>
              <w:rPr>
                <w:rFonts w:hint="eastAsia" w:ascii="宋体" w:hAnsi="宋体" w:eastAsia="宋体" w:cs="宋体"/>
                <w:spacing w:val="20"/>
                <w:sz w:val="24"/>
                <w14:ligatures w14:val="none"/>
              </w:rPr>
            </w:r>
            <w:r/>
          </w:p>
        </w:tc>
      </w:tr>
      <w:tr>
        <w:trPr>
          <w:trHeight w:val="586"/>
        </w:trPr>
        <w:tc>
          <w:tcPr>
            <w:gridSpan w:val="4"/>
            <w:tcBorders>
              <w:top w:val="single" w:color="000000" w:sz="2" w:space="0"/>
            </w:tcBorders>
            <w:tcW w:w="9820" w:type="dxa"/>
            <w:vAlign w:val="center"/>
            <w:textDirection w:val="lrTb"/>
            <w:noWrap w:val="false"/>
          </w:tcPr>
          <w:p>
            <w:pPr>
              <w:spacing w:after="0" w:line="360" w:lineRule="auto"/>
              <w:rPr>
                <w:rFonts w:hint="eastAsia" w:ascii="宋体" w:hAnsi="宋体" w:eastAsia="宋体" w:cs="宋体"/>
                <w:spacing w:val="20"/>
                <w:sz w:val="24"/>
                <w14:ligatures w14:val="none"/>
              </w:rPr>
            </w:pPr>
            <w:r>
              <w:rPr>
                <w:rFonts w:hint="eastAsia" w:ascii="宋体" w:hAnsi="宋体" w:eastAsia="宋体" w:cs="宋体"/>
                <w:sz w:val="24"/>
                <w14:ligatures w14:val="none"/>
              </w:rPr>
              <w:t xml:space="preserve">注：涉及联合体或其他合同主体的信息应按上表格式加列。</w:t>
            </w:r>
            <w:r/>
          </w:p>
        </w:tc>
      </w:tr>
    </w:tbl>
    <w:p>
      <w:pPr>
        <w:jc w:val="center"/>
        <w:spacing w:before="156" w:beforeAutospacing="1" w:after="0" w:afterAutospacing="1" w:line="240" w:lineRule="auto"/>
        <w:rPr>
          <w:rFonts w:hint="eastAsia" w:ascii="宋体" w:hAnsi="宋体" w:eastAsia="宋体" w:cs="宋体"/>
          <w:b/>
          <w:bCs/>
          <w:sz w:val="28"/>
          <w:szCs w:val="28"/>
          <w14:ligatures w14:val="none"/>
        </w:rPr>
      </w:pPr>
      <w:r>
        <w:rPr>
          <w:rFonts w:hint="eastAsia" w:ascii="宋体" w:hAnsi="宋体" w:eastAsia="宋体" w:cs="宋体"/>
          <w:b/>
          <w:bCs/>
          <w:sz w:val="36"/>
          <w:szCs w:val="36"/>
          <w:u w:val="single"/>
          <w14:ligatures w14:val="none"/>
        </w:rPr>
        <w:br w:type="page" w:clear="all"/>
      </w:r>
      <w:bookmarkStart w:id="191" w:name="_Toc27624"/>
      <w:r/>
      <w:bookmarkStart w:id="192" w:name="_Toc20313"/>
      <w:r>
        <w:rPr>
          <w:rFonts w:hint="eastAsia" w:ascii="宋体" w:hAnsi="宋体" w:eastAsia="宋体" w:cs="宋体"/>
          <w:sz w:val="28"/>
          <w:szCs w:val="28"/>
          <w14:ligatures w14:val="none"/>
        </w:rPr>
        <w:t xml:space="preserve">第二节 政府采购合同通用条款</w:t>
      </w:r>
      <w:bookmarkEnd w:id="191"/>
      <w:r/>
      <w:r/>
    </w:p>
    <w:p>
      <w:pPr>
        <w:spacing w:after="0" w:line="400" w:lineRule="exact"/>
        <w:tabs>
          <w:tab w:val="left" w:pos="8820" w:leader="none"/>
          <w:tab w:val="left" w:pos="9345" w:leader="none"/>
          <w:tab w:val="left" w:pos="9765" w:leader="none"/>
        </w:tabs>
        <w:rPr>
          <w:rFonts w:hint="eastAsia" w:ascii="宋体" w:hAnsi="宋体" w:eastAsia="宋体" w:cs="宋体"/>
          <w:b/>
          <w:bCs/>
          <w:sz w:val="24"/>
          <w14:ligatures w14:val="none"/>
        </w:rPr>
      </w:pPr>
      <w:r>
        <w:rPr>
          <w:rFonts w:hint="eastAsia" w:ascii="宋体" w:hAnsi="宋体" w:eastAsia="宋体" w:cs="宋体"/>
          <w:b/>
          <w:sz w:val="24"/>
          <w14:ligatures w14:val="none"/>
        </w:rPr>
        <w:t xml:space="preserve">1. </w:t>
      </w:r>
      <w:r>
        <w:rPr>
          <w:rFonts w:hint="eastAsia" w:ascii="宋体" w:hAnsi="宋体" w:eastAsia="宋体" w:cs="宋体"/>
          <w:b/>
          <w:bCs/>
          <w:sz w:val="24"/>
          <w14:ligatures w14:val="none"/>
        </w:rPr>
        <w:t xml:space="preserve">定义</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1.1合同当事人</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（1）采购人（以下称甲方）是指使用财政性资金，通过政府采购方式向供应商购买货物及其相关服务的国家机关、事业单位、团体组织。</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（2）供应商（以下称乙方）是指参加政府采购活动并且中标（成交），向采购人提供合同约定的货物及其相关服务的法人、非法人组织或者自然人。</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（3）其他合同主体是指除采购人和供应商以外，</w:t>
      </w:r>
      <w:r>
        <w:rPr>
          <w:rFonts w:hint="eastAsia" w:ascii="宋体" w:hAnsi="宋体" w:eastAsia="宋体" w:cs="宋体"/>
          <w:bCs/>
          <w:color w:val="000000"/>
          <w:sz w:val="21"/>
          <w:szCs w:val="21"/>
          <w14:ligatures w14:val="none"/>
        </w:rPr>
        <w:t xml:space="preserve">依法参与合同缔结或履行，享有权利、承担义务的合同当事人</w:t>
      </w:r>
      <w:r>
        <w:rPr>
          <w:rFonts w:hint="eastAsia" w:ascii="宋体" w:hAnsi="宋体" w:eastAsia="宋体" w:cs="宋体"/>
          <w:sz w:val="21"/>
          <w:szCs w:val="21"/>
          <w14:ligatures w14:val="none"/>
        </w:rPr>
        <w:t xml:space="preserve">。</w:t>
      </w:r>
      <w:r/>
    </w:p>
    <w:p>
      <w:pPr>
        <w:ind w:firstLine="420"/>
        <w:spacing w:after="0" w:line="400" w:lineRule="exact"/>
        <w:tabs>
          <w:tab w:val="left" w:pos="570" w:leader="none"/>
          <w:tab w:val="left" w:pos="9240" w:leader="none"/>
          <w:tab w:val="left" w:pos="9555" w:leader="none"/>
        </w:tabs>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1.2本合同下列术语应解释为：</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（1）“合同”系指</w:t>
      </w:r>
      <w:r>
        <w:rPr>
          <w:rFonts w:hint="eastAsia" w:ascii="宋体" w:hAnsi="宋体" w:eastAsia="宋体" w:cs="宋体"/>
          <w:bCs/>
          <w:color w:val="000000"/>
          <w:sz w:val="21"/>
          <w:szCs w:val="21"/>
          <w14:ligatures w14:val="none"/>
        </w:rPr>
        <w:t xml:space="preserve">合同当事人意思表示达成一致的任何协议，包括签署的</w:t>
      </w:r>
      <w:r>
        <w:rPr>
          <w:rFonts w:hint="eastAsia" w:ascii="宋体" w:hAnsi="宋体" w:eastAsia="宋体" w:cs="宋体"/>
          <w:sz w:val="21"/>
          <w:szCs w:val="21"/>
          <w14:ligatures w14: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14:ligatures w14:val="none"/>
        </w:rPr>
        <w:t xml:space="preserve">国家法律、行政法规和规章制度规定或合同约定的作为合同组成部分的其他文件</w:t>
      </w:r>
      <w:r>
        <w:rPr>
          <w:rFonts w:hint="eastAsia" w:ascii="宋体" w:hAnsi="宋体" w:eastAsia="宋体" w:cs="宋体"/>
          <w:sz w:val="21"/>
          <w:szCs w:val="21"/>
          <w14:ligatures w14:val="none"/>
        </w:rPr>
        <w:t xml:space="preserve">。</w:t>
      </w:r>
      <w:r/>
    </w:p>
    <w:p>
      <w:pPr>
        <w:ind w:firstLine="420"/>
        <w:spacing w:after="0" w:line="400" w:lineRule="exact"/>
        <w:tabs>
          <w:tab w:val="left" w:pos="570" w:leader="none"/>
          <w:tab w:val="left" w:pos="9240" w:leader="none"/>
          <w:tab w:val="left" w:pos="9555" w:leader="none"/>
        </w:tabs>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（2）“合同价款”系指根据本合同规定乙方在全面履行合同义务后甲方应支付给乙方的价款。</w:t>
      </w:r>
      <w:r/>
    </w:p>
    <w:p>
      <w:pPr>
        <w:ind w:firstLine="420"/>
        <w:spacing w:after="0" w:line="400" w:lineRule="exact"/>
        <w:tabs>
          <w:tab w:val="left" w:pos="570" w:leader="none"/>
          <w:tab w:val="left" w:pos="9240" w:leader="none"/>
          <w:tab w:val="left" w:pos="9555" w:leader="none"/>
        </w:tabs>
        <w:rPr>
          <w:rFonts w:hint="eastAsia" w:ascii="宋体" w:hAnsi="宋体" w:eastAsia="宋体" w:cs="宋体"/>
          <w:color w:val="000000"/>
          <w:sz w:val="21"/>
          <w:szCs w:val="21"/>
          <w14:ligatures w14:val="none"/>
        </w:rPr>
      </w:pPr>
      <w:r>
        <w:rPr>
          <w:rFonts w:hint="eastAsia" w:ascii="宋体" w:hAnsi="宋体" w:eastAsia="宋体" w:cs="宋体"/>
          <w:sz w:val="21"/>
          <w:szCs w:val="21"/>
          <w14:ligatures w14:val="none"/>
        </w:rPr>
        <w:t xml:space="preserve">（3）“货物”系指乙方根据本合同规定须向甲方提供的各种形态和种类的物品，包括原材料、设备、产品（</w:t>
      </w:r>
      <w:r>
        <w:rPr>
          <w:rFonts w:hint="eastAsia" w:ascii="宋体" w:hAnsi="宋体" w:eastAsia="宋体" w:cs="宋体"/>
          <w:color w:val="000000"/>
          <w:sz w:val="21"/>
          <w:szCs w:val="21"/>
          <w14:ligatures w14:val="none"/>
        </w:rPr>
        <w:t xml:space="preserve">包括软件）及相关的其备品备件、工具、手册及</w:t>
      </w:r>
      <w:r>
        <w:rPr>
          <w:rFonts w:hint="eastAsia" w:ascii="宋体" w:hAnsi="宋体" w:eastAsia="宋体" w:cs="宋体"/>
          <w:color w:val="000000"/>
          <w:sz w:val="21"/>
          <w:szCs w:val="21"/>
          <w:lang w:val="en"/>
          <w14:ligatures w14:val="none"/>
        </w:rPr>
        <w:t xml:space="preserve">其他</w:t>
      </w:r>
      <w:r>
        <w:rPr>
          <w:rFonts w:hint="eastAsia" w:ascii="宋体" w:hAnsi="宋体" w:eastAsia="宋体" w:cs="宋体"/>
          <w:color w:val="000000"/>
          <w:sz w:val="21"/>
          <w:szCs w:val="21"/>
          <w14:ligatures w14:val="none"/>
        </w:rPr>
        <w:t xml:space="preserve">技术资料和材料等。</w:t>
      </w:r>
      <w:r/>
    </w:p>
    <w:p>
      <w:pPr>
        <w:ind w:firstLine="420"/>
        <w:spacing w:after="0" w:line="400" w:lineRule="exact"/>
        <w:rPr>
          <w:rFonts w:hint="eastAsia" w:ascii="宋体" w:hAnsi="宋体" w:eastAsia="宋体" w:cs="宋体"/>
          <w:color w:val="000000"/>
          <w:sz w:val="21"/>
          <w:szCs w:val="21"/>
          <w:highlight w:val="yellow"/>
          <w14:ligatures w14:val="none"/>
        </w:rPr>
      </w:pPr>
      <w:r>
        <w:rPr>
          <w:rFonts w:hint="eastAsia" w:ascii="宋体" w:hAnsi="宋体" w:eastAsia="宋体" w:cs="宋体"/>
          <w:color w:val="000000"/>
          <w:sz w:val="21"/>
          <w:szCs w:val="21"/>
          <w14:ligatures w14:val="none"/>
        </w:rPr>
        <w:t xml:space="preserve">（4）“</w:t>
      </w:r>
      <w:r>
        <w:rPr>
          <w:rFonts w:hint="eastAsia" w:ascii="宋体" w:hAnsi="宋体" w:eastAsia="宋体" w:cs="宋体"/>
          <w:sz w:val="21"/>
          <w:szCs w:val="21"/>
          <w14:ligatures w14:val="none"/>
        </w:rPr>
        <w:t xml:space="preserve">相关</w:t>
      </w:r>
      <w:r>
        <w:rPr>
          <w:rFonts w:hint="eastAsia" w:ascii="宋体" w:hAnsi="宋体" w:eastAsia="宋体" w:cs="宋体"/>
          <w:color w:val="000000"/>
          <w:sz w:val="21"/>
          <w:szCs w:val="21"/>
          <w14:ligatures w14:val="none"/>
        </w:rPr>
        <w:t xml:space="preserve">服务”系指根据合同规定，乙方应提供的与货物有关的技术、管理和</w:t>
      </w:r>
      <w:r>
        <w:rPr>
          <w:rFonts w:hint="eastAsia" w:ascii="宋体" w:hAnsi="宋体" w:eastAsia="宋体" w:cs="宋体"/>
          <w:color w:val="000000"/>
          <w:sz w:val="21"/>
          <w:szCs w:val="21"/>
          <w:lang w:val="en"/>
          <w14:ligatures w14:val="none"/>
        </w:rPr>
        <w:t xml:space="preserve">其他</w:t>
      </w:r>
      <w:r>
        <w:rPr>
          <w:rFonts w:hint="eastAsia" w:ascii="宋体" w:hAnsi="宋体" w:eastAsia="宋体" w:cs="宋体"/>
          <w:color w:val="000000"/>
          <w:sz w:val="21"/>
          <w:szCs w:val="21"/>
          <w14:ligatures w14: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1"/>
          <w:szCs w:val="21"/>
          <w:lang w:val="en"/>
          <w14:ligatures w14:val="none"/>
        </w:rPr>
        <w:t xml:space="preserve">其他</w:t>
      </w:r>
      <w:r>
        <w:rPr>
          <w:rFonts w:hint="eastAsia" w:ascii="宋体" w:hAnsi="宋体" w:eastAsia="宋体" w:cs="宋体"/>
          <w:color w:val="000000"/>
          <w:sz w:val="21"/>
          <w:szCs w:val="21"/>
          <w14:ligatures w14:val="none"/>
        </w:rPr>
        <w:t xml:space="preserve">义务。</w:t>
      </w:r>
      <w:r/>
    </w:p>
    <w:p>
      <w:pPr>
        <w:ind w:firstLine="420"/>
        <w:spacing w:after="0" w:line="400" w:lineRule="exact"/>
        <w:rPr>
          <w:rFonts w:hint="eastAsia" w:ascii="宋体" w:hAnsi="宋体" w:eastAsia="宋体" w:cs="宋体"/>
          <w:color w:val="000000"/>
          <w:sz w:val="21"/>
          <w:szCs w:val="21"/>
          <w:highlight w:val="yellow"/>
          <w14:ligatures w14:val="none"/>
        </w:rPr>
      </w:pPr>
      <w:r>
        <w:rPr>
          <w:rFonts w:hint="eastAsia" w:ascii="宋体" w:hAnsi="宋体" w:eastAsia="宋体" w:cs="宋体"/>
          <w:color w:val="000000"/>
          <w:sz w:val="21"/>
          <w:szCs w:val="21"/>
          <w14:ligatures w14: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after="0" w:line="400" w:lineRule="exact"/>
        <w:tabs>
          <w:tab w:val="left" w:pos="570" w:leader="none"/>
          <w:tab w:val="left" w:pos="9240" w:leader="none"/>
          <w:tab w:val="left" w:pos="9555" w:leader="none"/>
        </w:tabs>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（6）</w:t>
      </w:r>
      <w:r>
        <w:rPr>
          <w:rFonts w:hint="eastAsia" w:ascii="宋体" w:hAnsi="宋体" w:eastAsia="宋体" w:cs="宋体"/>
          <w:sz w:val="21"/>
          <w:szCs w:val="21"/>
          <w14:ligatures w14:val="none"/>
        </w:rPr>
        <w:t xml:space="preserve">“联合体”系指由两个以上的自然人、法人或者非法人组织组成，以一个供应商的身份共同参加政府采购的主体</w:t>
      </w:r>
      <w:r>
        <w:rPr>
          <w:rFonts w:hint="eastAsia" w:ascii="宋体" w:hAnsi="宋体" w:eastAsia="宋体" w:cs="宋体"/>
          <w:color w:val="000000"/>
          <w:sz w:val="21"/>
          <w:szCs w:val="21"/>
          <w14:ligatures w14: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1"/>
          <w:szCs w:val="21"/>
          <w14:ligatures w14:val="none"/>
        </w:rPr>
        <w:t xml:space="preserve">政府采购合同专用条款</w:t>
      </w:r>
      <w:r>
        <w:rPr>
          <w:rFonts w:hint="eastAsia" w:ascii="宋体" w:hAnsi="宋体" w:eastAsia="宋体" w:cs="宋体"/>
          <w:color w:val="000000"/>
          <w:sz w:val="21"/>
          <w:szCs w:val="21"/>
          <w14:ligatures w14:val="none"/>
        </w:rPr>
        <w:t xml:space="preserve">】。</w:t>
      </w:r>
      <w:r/>
    </w:p>
    <w:p>
      <w:pPr>
        <w:ind w:firstLine="420"/>
        <w:spacing w:after="0" w:line="400" w:lineRule="exact"/>
        <w:tabs>
          <w:tab w:val="left" w:pos="570" w:leader="none"/>
          <w:tab w:val="left" w:pos="9240" w:leader="none"/>
          <w:tab w:val="left" w:pos="9555" w:leader="none"/>
        </w:tabs>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（7）其他术语解释，见【</w:t>
      </w:r>
      <w:r>
        <w:rPr>
          <w:rFonts w:hint="eastAsia" w:ascii="宋体" w:hAnsi="宋体" w:eastAsia="宋体" w:cs="宋体"/>
          <w:b/>
          <w:bCs/>
          <w:color w:val="000000"/>
          <w:sz w:val="21"/>
          <w:szCs w:val="21"/>
          <w14:ligatures w14:val="none"/>
        </w:rPr>
        <w:t xml:space="preserve">政府采购合同专用条款</w:t>
      </w:r>
      <w:r>
        <w:rPr>
          <w:rFonts w:hint="eastAsia" w:ascii="宋体" w:hAnsi="宋体" w:eastAsia="宋体" w:cs="宋体"/>
          <w:color w:val="000000"/>
          <w:sz w:val="21"/>
          <w:szCs w:val="21"/>
          <w14:ligatures w14:val="none"/>
        </w:rPr>
        <w:t xml:space="preserve">】。</w:t>
      </w:r>
      <w:r/>
    </w:p>
    <w:p>
      <w:pPr>
        <w:numPr>
          <w:ilvl w:val="0"/>
          <w:numId w:val="5"/>
        </w:numPr>
        <w:jc w:val="both"/>
        <w:spacing w:after="0" w:line="400" w:lineRule="exact"/>
        <w:rPr>
          <w:rFonts w:hint="eastAsia" w:ascii="宋体" w:hAnsi="宋体" w:eastAsia="宋体" w:cs="宋体"/>
          <w:b/>
          <w:bCs/>
          <w:color w:val="000000"/>
          <w:sz w:val="24"/>
          <w14:ligatures w14:val="none"/>
        </w:rPr>
      </w:pPr>
      <w:r>
        <w:rPr>
          <w:rFonts w:hint="eastAsia" w:ascii="宋体" w:hAnsi="宋体" w:eastAsia="宋体" w:cs="宋体"/>
          <w:b/>
          <w:color w:val="000000"/>
          <w:sz w:val="24"/>
          <w14:ligatures w14:val="none"/>
        </w:rPr>
        <w:t xml:space="preserve">合同标的及金额</w:t>
      </w:r>
      <w:r/>
    </w:p>
    <w:p>
      <w:pPr>
        <w:ind w:firstLine="420"/>
        <w:spacing w:after="0" w:line="400" w:lineRule="exact"/>
        <w:rPr>
          <w:rFonts w:hint="eastAsia" w:ascii="宋体" w:hAnsi="宋体" w:eastAsia="宋体" w:cs="宋体"/>
          <w:b/>
          <w:bCs/>
          <w:i/>
          <w:iCs/>
          <w:color w:val="000000"/>
          <w:sz w:val="21"/>
          <w:szCs w:val="21"/>
          <w14:ligatures w14:val="none"/>
        </w:rPr>
      </w:pPr>
      <w:r>
        <w:rPr>
          <w:rFonts w:hint="eastAsia" w:ascii="宋体" w:hAnsi="宋体" w:eastAsia="宋体" w:cs="宋体"/>
          <w:color w:val="000000"/>
          <w:sz w:val="21"/>
          <w:szCs w:val="21"/>
          <w14:ligatures w14: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 w:val="21"/>
          <w:szCs w:val="21"/>
          <w:lang w:val="en"/>
          <w14:ligatures w14:val="none"/>
        </w:rPr>
        <w:t xml:space="preserve">其他</w:t>
      </w:r>
      <w:r>
        <w:rPr>
          <w:rFonts w:hint="eastAsia" w:ascii="宋体" w:hAnsi="宋体" w:eastAsia="宋体" w:cs="宋体"/>
          <w:color w:val="000000"/>
          <w:sz w:val="21"/>
          <w:szCs w:val="21"/>
          <w14:ligatures w14:val="none"/>
        </w:rPr>
        <w:t xml:space="preserve">任何费用。</w:t>
      </w:r>
      <w:r/>
    </w:p>
    <w:p>
      <w:pPr>
        <w:spacing w:after="0" w:line="400" w:lineRule="exact"/>
        <w:rPr>
          <w:rFonts w:hint="eastAsia" w:ascii="宋体" w:hAnsi="宋体" w:eastAsia="宋体" w:cs="宋体"/>
          <w:b/>
          <w:color w:val="000000"/>
          <w:sz w:val="24"/>
          <w14:ligatures w14:val="none"/>
        </w:rPr>
      </w:pPr>
      <w:r>
        <w:rPr>
          <w:rFonts w:hint="eastAsia" w:ascii="宋体" w:hAnsi="宋体" w:eastAsia="宋体" w:cs="宋体"/>
          <w:b/>
          <w:color w:val="000000"/>
          <w:sz w:val="24"/>
          <w14:ligatures w14:val="none"/>
        </w:rPr>
        <w:t xml:space="preserve">3. 履行合同的时间、地点和方式</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3.1 </w:t>
      </w:r>
      <w:r>
        <w:rPr>
          <w:rFonts w:hint="eastAsia" w:ascii="宋体" w:hAnsi="宋体" w:eastAsia="宋体" w:cs="宋体"/>
          <w:sz w:val="21"/>
          <w:szCs w:val="21"/>
          <w14:ligatures w14:val="none"/>
        </w:rPr>
        <w:t xml:space="preserve">乙方应当在约定的时间、地点，按照约定方式履行合同。</w:t>
      </w:r>
      <w:r/>
    </w:p>
    <w:p>
      <w:pPr>
        <w:spacing w:after="0" w:line="400" w:lineRule="exact"/>
        <w:rPr>
          <w:rFonts w:hint="eastAsia" w:ascii="宋体" w:hAnsi="宋体" w:eastAsia="宋体" w:cs="宋体"/>
          <w:b/>
          <w:bCs/>
          <w:color w:val="000000"/>
          <w:sz w:val="24"/>
          <w14:ligatures w14:val="none"/>
        </w:rPr>
      </w:pPr>
      <w:r>
        <w:rPr>
          <w:rFonts w:hint="eastAsia" w:ascii="宋体" w:hAnsi="宋体" w:eastAsia="宋体" w:cs="宋体"/>
          <w:b/>
          <w:bCs/>
          <w:color w:val="000000"/>
          <w:sz w:val="24"/>
          <w14:ligatures w14:val="none"/>
        </w:rPr>
        <w:t xml:space="preserve">4. 甲方的权利和义务</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4.3 甲方有权要求乙方对缺陷部分予以修复，并按合同约定享有货物保修及其他合同约定的权利。</w:t>
      </w:r>
      <w:r/>
    </w:p>
    <w:p>
      <w:pPr>
        <w:ind w:firstLine="420"/>
        <w:jc w:val="both"/>
        <w:spacing w:after="0" w:line="400" w:lineRule="exact"/>
        <w:rPr>
          <w:rFonts w:hint="eastAsia" w:ascii="宋体" w:hAnsi="宋体" w:eastAsia="宋体" w:cs="宋体"/>
          <w:sz w:val="21"/>
          <w14:ligatures w14:val="none"/>
        </w:rPr>
      </w:pPr>
      <w:r>
        <w:rPr>
          <w:rFonts w:hint="eastAsia" w:ascii="宋体" w:hAnsi="宋体" w:eastAsia="宋体" w:cs="宋体"/>
          <w:color w:val="000000"/>
          <w:sz w:val="21"/>
          <w:szCs w:val="21"/>
          <w14:ligatures w14:val="none"/>
        </w:rPr>
        <w:t xml:space="preserve">4.4 甲方应当按照合同约定及时对交付的货物进行验收，</w:t>
      </w:r>
      <w:r>
        <w:rPr>
          <w:rFonts w:hint="eastAsia" w:ascii="宋体" w:hAnsi="宋体" w:eastAsia="宋体" w:cs="宋体"/>
          <w:sz w:val="21"/>
          <w:szCs w:val="21"/>
          <w14:ligatures w14:val="none"/>
        </w:rPr>
        <w:t xml:space="preserve">未</w:t>
      </w:r>
      <w:r>
        <w:rPr>
          <w:rFonts w:hint="eastAsia" w:ascii="宋体" w:hAnsi="宋体" w:eastAsia="宋体" w:cs="宋体"/>
          <w:color w:val="000000"/>
          <w:sz w:val="21"/>
          <w:szCs w:val="21"/>
          <w14:ligatures w14:val="none"/>
        </w:rPr>
        <w:t xml:space="preserve">在</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约定的期限内对乙方履约提出任何异议或者向乙方作出任何说明的，</w:t>
      </w:r>
      <w:r>
        <w:rPr>
          <w:rFonts w:hint="eastAsia" w:ascii="宋体" w:hAnsi="宋体" w:eastAsia="宋体" w:cs="宋体"/>
          <w:color w:val="000000"/>
          <w:sz w:val="21"/>
          <w:szCs w:val="21"/>
          <w14:ligatures w14:val="none"/>
        </w:rPr>
        <w:t xml:space="preserve">视为验收通过。</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4.5 甲方应当根据合同约定及时向乙方支付合同价款，不得以内部人员变更、履行内部付款流程等为由，拒绝或迟延支付。</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4.6 国家法律法规规定及</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color w:val="000000"/>
          <w:sz w:val="21"/>
          <w:szCs w:val="21"/>
          <w14:ligatures w14:val="none"/>
        </w:rPr>
        <w:t xml:space="preserve">约定应由甲方承担的其他义务和责任。</w:t>
      </w:r>
      <w:r/>
    </w:p>
    <w:p>
      <w:pPr>
        <w:spacing w:after="0" w:line="400" w:lineRule="exact"/>
        <w:rPr>
          <w:rFonts w:hint="eastAsia" w:ascii="宋体" w:hAnsi="宋体" w:eastAsia="宋体" w:cs="宋体"/>
          <w:b/>
          <w:bCs/>
          <w:color w:val="000000"/>
          <w:sz w:val="24"/>
          <w14:ligatures w14:val="none"/>
        </w:rPr>
      </w:pPr>
      <w:r>
        <w:rPr>
          <w:rFonts w:hint="eastAsia" w:ascii="宋体" w:hAnsi="宋体" w:eastAsia="宋体" w:cs="宋体"/>
          <w:b/>
          <w:bCs/>
          <w:color w:val="000000"/>
          <w:sz w:val="24"/>
          <w14:ligatures w14:val="none"/>
        </w:rPr>
        <w:t xml:space="preserve">5. 乙方的权利和义务</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5.1 签署合同后，乙方应确定项目负责人（或项目联系人），负责与本合同有关的事务。</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jc w:val="both"/>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5.3乙方有权根据合同约定向甲方收取合同价款。</w:t>
      </w:r>
      <w:r/>
    </w:p>
    <w:p>
      <w:pPr>
        <w:ind w:firstLine="369"/>
        <w:jc w:val="both"/>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5.4国家法律法规规定及</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约定应</w:t>
      </w:r>
      <w:r>
        <w:rPr>
          <w:rFonts w:hint="eastAsia" w:ascii="宋体" w:hAnsi="宋体" w:eastAsia="宋体" w:cs="宋体"/>
          <w:color w:val="000000"/>
          <w:sz w:val="21"/>
          <w:szCs w:val="21"/>
          <w14:ligatures w14:val="none"/>
        </w:rPr>
        <w:t xml:space="preserve">由乙方承担的其他义务和责任。</w:t>
      </w:r>
      <w:r/>
    </w:p>
    <w:p>
      <w:pPr>
        <w:numPr>
          <w:ilvl w:val="0"/>
          <w:numId w:val="6"/>
        </w:numPr>
        <w:jc w:val="both"/>
        <w:spacing w:after="0" w:line="400" w:lineRule="exact"/>
        <w:rPr>
          <w:rFonts w:hint="eastAsia" w:ascii="宋体" w:hAnsi="宋体" w:eastAsia="宋体" w:cs="宋体"/>
          <w:b/>
          <w:bCs/>
          <w:color w:val="000000"/>
          <w:sz w:val="24"/>
          <w14:ligatures w14:val="none"/>
        </w:rPr>
      </w:pPr>
      <w:r>
        <w:rPr>
          <w:rFonts w:hint="eastAsia" w:ascii="宋体" w:hAnsi="宋体" w:eastAsia="宋体" w:cs="宋体"/>
          <w:b/>
          <w:bCs/>
          <w:color w:val="000000"/>
          <w:sz w:val="24"/>
          <w14:ligatures w14:val="none"/>
        </w:rPr>
        <w:t xml:space="preserve">合同履行</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6.1 甲乙双方应当按照</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color w:val="000000"/>
          <w:sz w:val="21"/>
          <w:szCs w:val="21"/>
          <w14:ligatures w14:val="none"/>
        </w:rPr>
        <w:t xml:space="preserve">约定顺序履行合同义务；如果没有先后顺序的，应当同时履行。</w:t>
      </w:r>
      <w:r/>
    </w:p>
    <w:p>
      <w:pPr>
        <w:ind w:firstLine="420"/>
        <w:spacing w:after="0" w:line="400" w:lineRule="exact"/>
        <w:rPr>
          <w:rFonts w:hint="eastAsia" w:ascii="宋体" w:hAnsi="宋体" w:eastAsia="宋体" w:cs="宋体"/>
          <w:sz w:val="21"/>
          <w14:ligatures w14:val="none"/>
        </w:rPr>
      </w:pPr>
      <w:r>
        <w:rPr>
          <w:rFonts w:hint="eastAsia" w:ascii="宋体" w:hAnsi="宋体" w:eastAsia="宋体" w:cs="宋体"/>
          <w:color w:val="000000"/>
          <w:sz w:val="21"/>
          <w:szCs w:val="21"/>
          <w14:ligatures w14:val="none"/>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after="0" w:line="400" w:lineRule="exact"/>
        <w:rPr>
          <w:rFonts w:hint="eastAsia" w:ascii="宋体" w:hAnsi="宋体" w:eastAsia="宋体" w:cs="宋体"/>
          <w:b/>
          <w:bCs/>
          <w:color w:val="000000"/>
          <w:sz w:val="24"/>
          <w14:ligatures w14:val="none"/>
        </w:rPr>
      </w:pPr>
      <w:r>
        <w:rPr>
          <w:rFonts w:hint="eastAsia" w:ascii="宋体" w:hAnsi="宋体" w:eastAsia="宋体" w:cs="宋体"/>
          <w:b/>
          <w:bCs/>
          <w:color w:val="000000"/>
          <w:sz w:val="24"/>
          <w14:ligatures w14:val="none"/>
        </w:rPr>
        <w:t xml:space="preserve">7. 货物包装、运输、保险和交付要求</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7.1 本合同</w:t>
      </w:r>
      <w:r>
        <w:rPr>
          <w:rFonts w:hint="eastAsia" w:ascii="宋体" w:hAnsi="宋体" w:eastAsia="宋体" w:cs="宋体"/>
          <w:bCs/>
          <w:color w:val="000000"/>
          <w:sz w:val="21"/>
          <w:szCs w:val="21"/>
          <w14:ligatures w14:val="none"/>
        </w:rPr>
        <w:t xml:space="preserve">涉及商品包装、快递包装的，</w:t>
      </w:r>
      <w:r>
        <w:rPr>
          <w:rFonts w:hint="eastAsia" w:ascii="宋体" w:hAnsi="宋体" w:eastAsia="宋体" w:cs="宋体"/>
          <w:color w:val="000000"/>
          <w:sz w:val="21"/>
          <w:szCs w:val="21"/>
          <w14:ligatures w14:val="none"/>
        </w:rPr>
        <w:t xml:space="preserve">除</w:t>
      </w:r>
      <w:r>
        <w:rPr>
          <w:rFonts w:hint="eastAsia" w:ascii="宋体" w:hAnsi="宋体" w:eastAsia="宋体" w:cs="宋体"/>
          <w:b/>
          <w:color w:val="000000"/>
          <w:sz w:val="21"/>
          <w:szCs w:val="21"/>
          <w14:ligatures w14:val="none"/>
        </w:rPr>
        <w:t xml:space="preserve">【政府采购合同专用条款】</w:t>
      </w:r>
      <w:r>
        <w:rPr>
          <w:rFonts w:hint="eastAsia" w:ascii="宋体" w:hAnsi="宋体" w:eastAsia="宋体" w:cs="宋体"/>
          <w:bCs/>
          <w:color w:val="000000"/>
          <w:sz w:val="21"/>
          <w:szCs w:val="21"/>
          <w14:ligatures w14:val="none"/>
        </w:rPr>
        <w:t xml:space="preserve">另有约定外，</w:t>
      </w:r>
      <w:r>
        <w:rPr>
          <w:rFonts w:hint="eastAsia" w:ascii="宋体" w:hAnsi="宋体" w:eastAsia="宋体" w:cs="宋体"/>
          <w:color w:val="000000"/>
          <w:sz w:val="21"/>
          <w:szCs w:val="21"/>
          <w14:ligatures w14:val="none"/>
        </w:rPr>
        <w:t xml:space="preserve">包装应适应远距离运输、防潮、防震、防锈和防野蛮装卸等要求，确保货物安全无损地运抵</w:t>
      </w:r>
      <w:r>
        <w:rPr>
          <w:rFonts w:hint="eastAsia" w:ascii="宋体" w:hAnsi="宋体" w:eastAsia="宋体" w:cs="宋体"/>
          <w:b/>
          <w:color w:val="000000"/>
          <w:sz w:val="21"/>
          <w:szCs w:val="21"/>
          <w14:ligatures w14:val="none"/>
        </w:rPr>
        <w:t xml:space="preserve">【政府采购合同专用条款】</w:t>
      </w:r>
      <w:r>
        <w:rPr>
          <w:rFonts w:hint="eastAsia" w:ascii="宋体" w:hAnsi="宋体" w:eastAsia="宋体" w:cs="宋体"/>
          <w:bCs/>
          <w:color w:val="000000"/>
          <w:sz w:val="21"/>
          <w:szCs w:val="21"/>
          <w14:ligatures w14:val="none"/>
        </w:rPr>
        <w:t xml:space="preserve">约定的</w:t>
      </w:r>
      <w:r>
        <w:rPr>
          <w:rFonts w:hint="eastAsia" w:ascii="宋体" w:hAnsi="宋体" w:eastAsia="宋体" w:cs="宋体"/>
          <w:color w:val="000000"/>
          <w:sz w:val="21"/>
          <w:szCs w:val="21"/>
          <w14:ligatures w14:val="none"/>
        </w:rPr>
        <w:t xml:space="preserve">指定现场。</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7.2 除</w:t>
      </w:r>
      <w:r>
        <w:rPr>
          <w:rFonts w:hint="eastAsia" w:ascii="宋体" w:hAnsi="宋体" w:eastAsia="宋体" w:cs="宋体"/>
          <w:b/>
          <w:color w:val="000000"/>
          <w:sz w:val="21"/>
          <w:szCs w:val="21"/>
          <w14:ligatures w14:val="none"/>
        </w:rPr>
        <w:t xml:space="preserve">【政府采购合同专用条款】</w:t>
      </w:r>
      <w:r>
        <w:rPr>
          <w:rFonts w:hint="eastAsia" w:ascii="宋体" w:hAnsi="宋体" w:eastAsia="宋体" w:cs="宋体"/>
          <w:bCs/>
          <w:color w:val="000000"/>
          <w:sz w:val="21"/>
          <w:szCs w:val="21"/>
          <w14:ligatures w14:val="none"/>
        </w:rPr>
        <w:t xml:space="preserve">另有约定外，</w:t>
      </w:r>
      <w:r>
        <w:rPr>
          <w:rFonts w:hint="eastAsia" w:ascii="宋体" w:hAnsi="宋体" w:eastAsia="宋体" w:cs="宋体"/>
          <w:color w:val="000000"/>
          <w:sz w:val="21"/>
          <w:szCs w:val="21"/>
          <w14:ligatures w14:val="none"/>
        </w:rPr>
        <w:t xml:space="preserve">乙方负责办理将货物运抵本合同规定的交货地点，并装卸、交付至甲方的一切运输事项，相关费用应包含在合同价款中。</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7.3 货物保险要求按</w:t>
      </w:r>
      <w:r>
        <w:rPr>
          <w:rFonts w:hint="eastAsia" w:ascii="宋体" w:hAnsi="宋体" w:eastAsia="宋体" w:cs="宋体"/>
          <w:b/>
          <w:color w:val="000000"/>
          <w:sz w:val="21"/>
          <w:szCs w:val="21"/>
          <w14:ligatures w14:val="none"/>
        </w:rPr>
        <w:t xml:space="preserve">【政府采购合同专用条款】</w:t>
      </w:r>
      <w:r>
        <w:rPr>
          <w:rFonts w:hint="eastAsia" w:ascii="宋体" w:hAnsi="宋体" w:eastAsia="宋体" w:cs="宋体"/>
          <w:bCs/>
          <w:color w:val="000000"/>
          <w:sz w:val="21"/>
          <w:szCs w:val="21"/>
          <w14:ligatures w14:val="none"/>
        </w:rPr>
        <w:t xml:space="preserve">规定执行</w:t>
      </w:r>
      <w:r>
        <w:rPr>
          <w:rFonts w:hint="eastAsia" w:ascii="宋体" w:hAnsi="宋体" w:eastAsia="宋体" w:cs="宋体"/>
          <w:color w:val="000000"/>
          <w:sz w:val="21"/>
          <w:szCs w:val="21"/>
          <w14:ligatures w14:val="none"/>
        </w:rPr>
        <w:t xml:space="preserve">。</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7.5 乙方在运输到达之前应提前通知甲方，并提示货物运输装卸的注意事项，甲方配合乙方做好货物的接收工作。</w:t>
      </w:r>
      <w:r/>
    </w:p>
    <w:p>
      <w:pPr>
        <w:ind w:firstLine="420"/>
        <w:spacing w:after="0" w:line="400" w:lineRule="exact"/>
        <w:widowControl/>
        <w:rPr>
          <w:rFonts w:hint="eastAsia" w:ascii="宋体" w:hAnsi="宋体" w:eastAsia="宋体" w:cs="宋体"/>
          <w:sz w:val="21"/>
          <w:szCs w:val="21"/>
          <w14:ligatures w14:val="none"/>
        </w:rPr>
      </w:pPr>
      <w:r>
        <w:rPr>
          <w:rFonts w:hint="eastAsia" w:ascii="宋体" w:hAnsi="宋体" w:eastAsia="宋体" w:cs="宋体"/>
          <w:color w:val="000000"/>
          <w:sz w:val="21"/>
          <w:szCs w:val="21"/>
          <w14:ligatures w14:val="none"/>
        </w:rPr>
        <w:t xml:space="preserve">7.6 如因包装、运输问题导致货物损毁、丢失或者品质下降，甲方有权要求降价、换货、拒收部分或整批货物，由此产生的费用和损失，均由乙方承担。</w:t>
      </w:r>
      <w:r/>
    </w:p>
    <w:p>
      <w:pPr>
        <w:spacing w:after="0" w:line="400" w:lineRule="exact"/>
        <w:rPr>
          <w:rFonts w:hint="eastAsia" w:ascii="宋体" w:hAnsi="宋体" w:eastAsia="宋体" w:cs="宋体"/>
          <w:b/>
          <w:sz w:val="24"/>
          <w14:ligatures w14:val="none"/>
        </w:rPr>
      </w:pPr>
      <w:r>
        <w:rPr>
          <w:rFonts w:hint="eastAsia" w:ascii="宋体" w:hAnsi="宋体" w:eastAsia="宋体" w:cs="宋体"/>
          <w:b/>
          <w:color w:val="000000"/>
          <w:sz w:val="24"/>
          <w14:ligatures w14:val="none"/>
        </w:rPr>
        <w:t xml:space="preserve">8. </w:t>
      </w:r>
      <w:r>
        <w:rPr>
          <w:rFonts w:hint="eastAsia" w:ascii="宋体" w:hAnsi="宋体" w:eastAsia="宋体" w:cs="宋体"/>
          <w:b/>
          <w:sz w:val="24"/>
          <w14:ligatures w14:val="none"/>
        </w:rPr>
        <w:t xml:space="preserve">质量标准和保证</w:t>
      </w:r>
      <w:r/>
    </w:p>
    <w:p>
      <w:pPr>
        <w:ind w:firstLine="420"/>
        <w:spacing w:after="0" w:line="400" w:lineRule="exact"/>
        <w:rPr>
          <w:rFonts w:hint="eastAsia" w:ascii="宋体" w:hAnsi="宋体" w:eastAsia="宋体" w:cs="宋体"/>
          <w:b/>
          <w:sz w:val="21"/>
          <w:szCs w:val="21"/>
          <w14:ligatures w14:val="none"/>
        </w:rPr>
      </w:pPr>
      <w:r>
        <w:rPr>
          <w:rFonts w:hint="eastAsia" w:ascii="宋体" w:hAnsi="宋体" w:eastAsia="宋体" w:cs="宋体"/>
          <w:sz w:val="21"/>
          <w:szCs w:val="21"/>
          <w14:ligatures w14:val="none"/>
        </w:rPr>
        <w:t xml:space="preserve">8.1 质量标准</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（1）本合同下提供的货物应符合合同</w:t>
      </w:r>
      <w:r>
        <w:rPr>
          <w:rFonts w:hint="eastAsia" w:ascii="宋体" w:hAnsi="宋体" w:eastAsia="宋体" w:cs="宋体"/>
          <w:color w:val="000000"/>
          <w:sz w:val="21"/>
          <w:szCs w:val="21"/>
          <w14:ligatures w14:val="none"/>
        </w:rPr>
        <w:t xml:space="preserve">约定的</w:t>
      </w:r>
      <w:r>
        <w:rPr>
          <w:rFonts w:hint="eastAsia" w:ascii="宋体" w:hAnsi="宋体" w:eastAsia="宋体" w:cs="宋体"/>
          <w:sz w:val="21"/>
          <w:szCs w:val="21"/>
          <w14:ligatures w14: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（2）采用中华人民共和国法定计量单位。</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（3）乙方所提供的货物应符合国家有关安全、环保、卫生的规定。</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8.2 保证</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1"/>
          <w:szCs w:val="21"/>
          <w14:ligatures w14:val="none"/>
        </w:rPr>
        <w:t xml:space="preserve">【政府采购合同专用条款】</w:t>
      </w:r>
      <w:r>
        <w:rPr>
          <w:rFonts w:hint="eastAsia" w:ascii="宋体" w:hAnsi="宋体" w:eastAsia="宋体" w:cs="宋体"/>
          <w:sz w:val="21"/>
          <w:szCs w:val="21"/>
          <w14:ligatures w14:val="none"/>
        </w:rPr>
        <w:t xml:space="preserve">规定或乙方书面承诺（两者以较长的为准）的质量保证期内，本保证保持有效。</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（2）在质量保证期内所发现的缺陷，甲方应尽快以书面形式通知乙方。</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（3）乙方收到通知后，应在</w:t>
      </w:r>
      <w:r>
        <w:rPr>
          <w:rFonts w:hint="eastAsia" w:ascii="宋体" w:hAnsi="宋体" w:eastAsia="宋体" w:cs="宋体"/>
          <w:b/>
          <w:sz w:val="21"/>
          <w:szCs w:val="21"/>
          <w14:ligatures w14:val="none"/>
        </w:rPr>
        <w:t xml:space="preserve">【政府采购合同专用条款】</w:t>
      </w:r>
      <w:r>
        <w:rPr>
          <w:rFonts w:hint="eastAsia" w:ascii="宋体" w:hAnsi="宋体" w:eastAsia="宋体" w:cs="宋体"/>
          <w:sz w:val="21"/>
          <w:szCs w:val="21"/>
          <w14:ligatures w14:val="none"/>
        </w:rPr>
        <w:t xml:space="preserve">规定的响应时间内以合理的速度免费维修或更换有缺陷的货物或部件。</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14:ligatures w14:val="none"/>
        </w:rPr>
        <w:t xml:space="preserve">5</w:t>
      </w:r>
      <w:r>
        <w:rPr>
          <w:rFonts w:hint="eastAsia" w:ascii="宋体" w:hAnsi="宋体" w:eastAsia="宋体" w:cs="宋体"/>
          <w:sz w:val="21"/>
          <w:szCs w:val="21"/>
          <w14:ligatures w14:val="none"/>
        </w:rPr>
        <w:t xml:space="preserve">.1条规定以书面形式</w:t>
      </w:r>
      <w:r>
        <w:rPr>
          <w:rFonts w:hint="eastAsia" w:ascii="宋体" w:hAnsi="宋体" w:eastAsia="宋体" w:cs="宋体"/>
          <w:color w:val="000000"/>
          <w:sz w:val="21"/>
          <w:szCs w:val="21"/>
          <w14:ligatures w14:val="none"/>
        </w:rPr>
        <w:t xml:space="preserve">追究</w:t>
      </w:r>
      <w:r>
        <w:rPr>
          <w:rFonts w:hint="eastAsia" w:ascii="宋体" w:hAnsi="宋体" w:eastAsia="宋体" w:cs="宋体"/>
          <w:sz w:val="21"/>
          <w:szCs w:val="21"/>
          <w14:ligatures w14:val="none"/>
        </w:rPr>
        <w:t xml:space="preserve">乙方</w:t>
      </w:r>
      <w:r>
        <w:rPr>
          <w:rFonts w:hint="eastAsia" w:ascii="宋体" w:hAnsi="宋体" w:eastAsia="宋体" w:cs="宋体"/>
          <w:color w:val="000000"/>
          <w:sz w:val="21"/>
          <w:szCs w:val="21"/>
          <w14:ligatures w14:val="none"/>
        </w:rPr>
        <w:t xml:space="preserve">的违约责任</w:t>
      </w:r>
      <w:r>
        <w:rPr>
          <w:rFonts w:hint="eastAsia" w:ascii="宋体" w:hAnsi="宋体" w:eastAsia="宋体" w:cs="宋体"/>
          <w:sz w:val="21"/>
          <w:szCs w:val="21"/>
          <w14:ligatures w14:val="none"/>
        </w:rPr>
        <w:t xml:space="preserve">。</w:t>
      </w:r>
      <w:r/>
    </w:p>
    <w:p>
      <w:pPr>
        <w:ind w:firstLine="420"/>
        <w:spacing w:after="0" w:line="400" w:lineRule="exact"/>
        <w:rPr>
          <w:rFonts w:hint="eastAsia" w:ascii="宋体" w:hAnsi="宋体" w:eastAsia="宋体" w:cs="宋体"/>
          <w:sz w:val="21"/>
          <w14:ligatures w14:val="none"/>
        </w:rPr>
      </w:pPr>
      <w:r>
        <w:rPr>
          <w:rFonts w:hint="eastAsia" w:ascii="宋体" w:hAnsi="宋体" w:eastAsia="宋体" w:cs="宋体"/>
          <w:sz w:val="21"/>
          <w:szCs w:val="21"/>
          <w14:ligatures w14:val="none"/>
        </w:rPr>
        <w:t xml:space="preserve">（5）乙方在约定的时间内未能弥补缺陷，甲方可采取必要的补救措施，但其风险和费用将由乙方承担，甲方根据合同约定对乙方行使的其他权利不受影响。</w:t>
      </w:r>
      <w:r/>
    </w:p>
    <w:p>
      <w:pPr>
        <w:spacing w:after="0" w:line="400" w:lineRule="exact"/>
        <w:rPr>
          <w:rFonts w:hint="eastAsia" w:ascii="宋体" w:hAnsi="宋体" w:eastAsia="宋体" w:cs="宋体"/>
          <w:b/>
          <w:bCs/>
          <w:sz w:val="24"/>
          <w14:ligatures w14:val="none"/>
        </w:rPr>
      </w:pPr>
      <w:r>
        <w:rPr>
          <w:rFonts w:hint="eastAsia" w:ascii="宋体" w:hAnsi="宋体" w:eastAsia="宋体" w:cs="宋体"/>
          <w:b/>
          <w:bCs/>
          <w:color w:val="000000"/>
          <w:sz w:val="24"/>
          <w14:ligatures w14:val="none"/>
        </w:rPr>
        <w:t xml:space="preserve">9</w:t>
      </w:r>
      <w:r>
        <w:rPr>
          <w:rFonts w:hint="eastAsia" w:ascii="宋体" w:hAnsi="宋体" w:eastAsia="宋体" w:cs="宋体"/>
          <w:b/>
          <w:bCs/>
          <w:sz w:val="24"/>
          <w14:ligatures w14:val="none"/>
        </w:rPr>
        <w:t xml:space="preserve">.</w:t>
      </w:r>
      <w:r>
        <w:rPr>
          <w:rFonts w:hint="eastAsia" w:ascii="宋体" w:hAnsi="宋体" w:eastAsia="宋体" w:cs="宋体"/>
          <w:b/>
          <w:bCs/>
          <w:color w:val="000000"/>
          <w:sz w:val="24"/>
          <w14:ligatures w14:val="none"/>
        </w:rPr>
        <w:t xml:space="preserve"> </w:t>
      </w:r>
      <w:r>
        <w:rPr>
          <w:rFonts w:hint="eastAsia" w:ascii="宋体" w:hAnsi="宋体" w:eastAsia="宋体" w:cs="宋体"/>
          <w:b/>
          <w:bCs/>
          <w:sz w:val="24"/>
          <w14:ligatures w14:val="none"/>
        </w:rPr>
        <w:t xml:space="preserve">权利瑕疵担保</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9.1 乙方保证对其出售的货物享有合法的权利。</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9.2 </w:t>
      </w:r>
      <w:r>
        <w:rPr>
          <w:rFonts w:hint="eastAsia" w:ascii="宋体" w:hAnsi="宋体" w:eastAsia="宋体" w:cs="宋体"/>
          <w:sz w:val="21"/>
          <w:szCs w:val="15"/>
          <w14:ligatures w14:val="none"/>
        </w:rPr>
        <w:t xml:space="preserve">乙方保证在交付的货物上不存在抵押权等担保物权。</w:t>
      </w:r>
      <w:r/>
    </w:p>
    <w:p>
      <w:pPr>
        <w:ind w:firstLine="420"/>
        <w:spacing w:after="0" w:line="400" w:lineRule="exact"/>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9.3 如甲方使用上述货物构成对第三人侵权的，则由乙方承担全部责任。</w:t>
      </w:r>
      <w:r/>
    </w:p>
    <w:p>
      <w:pPr>
        <w:spacing w:after="0" w:line="400" w:lineRule="exact"/>
        <w:rPr>
          <w:rFonts w:hint="eastAsia" w:ascii="宋体" w:hAnsi="宋体" w:eastAsia="宋体" w:cs="宋体"/>
          <w:b/>
          <w:bCs/>
          <w:color w:val="000000"/>
          <w:sz w:val="24"/>
          <w14:ligatures w14:val="none"/>
        </w:rPr>
      </w:pPr>
      <w:r>
        <w:rPr>
          <w:rFonts w:hint="eastAsia" w:ascii="宋体" w:hAnsi="宋体" w:eastAsia="宋体" w:cs="宋体"/>
          <w:b/>
          <w:bCs/>
          <w:color w:val="000000"/>
          <w:sz w:val="24"/>
          <w14:ligatures w14:val="none"/>
        </w:rPr>
        <w:t xml:space="preserve">10. 知识产权保护</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color w:val="000000"/>
          <w:sz w:val="21"/>
          <w:szCs w:val="21"/>
          <w14:ligatures w14:val="none"/>
        </w:rPr>
        <w:t xml:space="preserve">10.1 乙方对其所销售的货物应当享有知识产权或经权利人合法授权，保证没有侵犯任</w:t>
      </w:r>
      <w:r>
        <w:rPr>
          <w:rFonts w:hint="eastAsia" w:ascii="宋体" w:hAnsi="宋体" w:eastAsia="宋体" w:cs="宋体"/>
          <w:sz w:val="21"/>
          <w:szCs w:val="21"/>
          <w14:ligatures w14:val="none"/>
        </w:rPr>
        <w:t xml:space="preserve">何第三人的知识产权等权利。</w:t>
      </w:r>
      <w:bookmarkStart w:id="193" w:name="_Hlk163047038"/>
      <w:r>
        <w:rPr>
          <w:rFonts w:hint="eastAsia" w:ascii="宋体" w:hAnsi="宋体" w:eastAsia="宋体" w:cs="宋体"/>
          <w:sz w:val="21"/>
          <w:szCs w:val="15"/>
          <w14:ligatures w14:val="none"/>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eastAsia="宋体" w:cs="宋体"/>
          <w:sz w:val="21"/>
          <w:szCs w:val="21"/>
          <w14:ligatures w14:val="none"/>
        </w:rPr>
        <w:t xml:space="preserve">。</w:t>
      </w:r>
      <w:r/>
    </w:p>
    <w:p>
      <w:pPr>
        <w:spacing w:after="0" w:line="400" w:lineRule="exact"/>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11. 保密义务</w:t>
      </w:r>
      <w:r/>
    </w:p>
    <w:p>
      <w:pPr>
        <w:ind w:firstLine="420"/>
        <w:spacing w:after="0" w:line="400" w:lineRule="exact"/>
        <w:rPr>
          <w:rFonts w:hint="eastAsia" w:ascii="宋体" w:hAnsi="宋体" w:eastAsia="宋体" w:cs="宋体"/>
          <w:sz w:val="21"/>
          <w:szCs w:val="15"/>
          <w14:ligatures w14:val="none"/>
        </w:rPr>
      </w:pPr>
      <w:r>
        <w:rPr>
          <w:rFonts w:hint="eastAsia" w:ascii="宋体" w:hAnsi="宋体" w:eastAsia="宋体" w:cs="宋体"/>
          <w:sz w:val="21"/>
          <w:szCs w:val="15"/>
          <w14:ligatures w14: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15"/>
          <w14:ligatures w14:val="none"/>
        </w:rPr>
        <w:t xml:space="preserve">【政府采购合同专用条款】</w:t>
      </w:r>
      <w:r>
        <w:rPr>
          <w:rFonts w:hint="eastAsia" w:ascii="宋体" w:hAnsi="宋体" w:eastAsia="宋体" w:cs="宋体"/>
          <w:sz w:val="21"/>
          <w:szCs w:val="15"/>
          <w14:ligatures w14:val="none"/>
        </w:rPr>
        <w:t xml:space="preserve">中约定。</w:t>
      </w:r>
      <w:r/>
    </w:p>
    <w:p>
      <w:pPr>
        <w:spacing w:after="0" w:line="400" w:lineRule="exact"/>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12. 合同价款支付</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12.1 合同价款支付按照国库集中支付制度及财政管理相关规定执行。</w:t>
      </w:r>
      <w:r/>
    </w:p>
    <w:p>
      <w:pPr>
        <w:ind w:firstLine="420"/>
        <w:spacing w:after="0" w:line="400" w:lineRule="exact"/>
        <w:rPr>
          <w:rFonts w:hint="eastAsia" w:ascii="宋体" w:hAnsi="宋体" w:eastAsia="宋体" w:cs="宋体"/>
          <w:b/>
          <w:bCs/>
          <w:sz w:val="36"/>
          <w:szCs w:val="36"/>
          <w14:ligatures w14:val="none"/>
        </w:rPr>
      </w:pPr>
      <w:r>
        <w:rPr>
          <w:rFonts w:hint="eastAsia" w:ascii="宋体" w:hAnsi="宋体" w:eastAsia="宋体" w:cs="宋体"/>
          <w:sz w:val="21"/>
          <w:szCs w:val="21"/>
          <w14:ligatures w14: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】中约定。</w:t>
      </w:r>
      <w:r/>
    </w:p>
    <w:p>
      <w:pPr>
        <w:jc w:val="both"/>
        <w:spacing w:after="0" w:line="400" w:lineRule="exact"/>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13. 履约保证金</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13.1 </w:t>
      </w:r>
      <w:r>
        <w:rPr>
          <w:rFonts w:hint="eastAsia" w:ascii="宋体" w:hAnsi="宋体" w:eastAsia="宋体" w:cs="宋体"/>
          <w:sz w:val="21"/>
          <w:szCs w:val="15"/>
          <w14:ligatures w14:val="none"/>
        </w:rPr>
        <w:t xml:space="preserve">乙方应当以支票、汇票、本票或者金融机构、担保机构出具的保函等非现金形式提交。</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13.2 如果乙方出现</w:t>
      </w:r>
      <w:r>
        <w:rPr>
          <w:rFonts w:hint="eastAsia" w:ascii="宋体" w:hAnsi="宋体" w:eastAsia="宋体" w:cs="宋体"/>
          <w:b/>
          <w:bCs/>
          <w:sz w:val="21"/>
          <w:szCs w:val="15"/>
          <w14:ligatures w14:val="none"/>
        </w:rPr>
        <w:t xml:space="preserve">【政府采购合同专用条款】</w:t>
      </w:r>
      <w:r>
        <w:rPr>
          <w:rFonts w:hint="eastAsia" w:ascii="宋体" w:hAnsi="宋体" w:eastAsia="宋体" w:cs="宋体"/>
          <w:sz w:val="21"/>
          <w:szCs w:val="15"/>
          <w14:ligatures w14:val="none"/>
        </w:rPr>
        <w:t xml:space="preserve">约定情形的</w:t>
      </w:r>
      <w:r>
        <w:rPr>
          <w:rFonts w:hint="eastAsia" w:ascii="宋体" w:hAnsi="宋体" w:eastAsia="宋体" w:cs="宋体"/>
          <w:sz w:val="21"/>
          <w:szCs w:val="21"/>
          <w14:ligatures w14: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spacing w:after="0" w:line="400" w:lineRule="exact"/>
        <w:rPr>
          <w:rFonts w:hint="eastAsia" w:ascii="宋体" w:hAnsi="宋体" w:eastAsia="宋体" w:cs="宋体"/>
          <w:sz w:val="21"/>
          <w14:ligatures w14:val="none"/>
        </w:rPr>
      </w:pPr>
      <w:r>
        <w:rPr>
          <w:rFonts w:hint="eastAsia" w:ascii="宋体" w:hAnsi="宋体" w:eastAsia="宋体" w:cs="宋体"/>
          <w:sz w:val="21"/>
          <w:szCs w:val="21"/>
          <w14:ligatures w14:val="none"/>
        </w:rPr>
        <w:t xml:space="preserve">13.3 甲方在项目通过验收后按照</w:t>
      </w:r>
      <w:r>
        <w:rPr>
          <w:rFonts w:hint="eastAsia" w:ascii="宋体" w:hAnsi="宋体" w:eastAsia="宋体" w:cs="宋体"/>
          <w:b/>
          <w:sz w:val="21"/>
          <w:szCs w:val="21"/>
          <w14:ligatures w14:val="none"/>
        </w:rPr>
        <w:t xml:space="preserve">【政府采购合同专用条款】</w:t>
      </w:r>
      <w:r>
        <w:rPr>
          <w:rFonts w:hint="eastAsia" w:ascii="宋体" w:hAnsi="宋体" w:eastAsia="宋体" w:cs="宋体"/>
          <w:sz w:val="21"/>
          <w:szCs w:val="21"/>
          <w14:ligatures w14:val="none"/>
        </w:rPr>
        <w:t xml:space="preserve">规定的时间内将履约保证金退还乙方；逾期退还的，乙方可要求甲方支付违约金，违约金按照</w:t>
      </w:r>
      <w:r>
        <w:rPr>
          <w:rFonts w:hint="eastAsia" w:ascii="宋体" w:hAnsi="宋体" w:eastAsia="宋体" w:cs="宋体"/>
          <w:b/>
          <w:sz w:val="21"/>
          <w:szCs w:val="21"/>
          <w14:ligatures w14:val="none"/>
        </w:rPr>
        <w:t xml:space="preserve">【政府采购合同专用条款】</w:t>
      </w:r>
      <w:r>
        <w:rPr>
          <w:rFonts w:hint="eastAsia" w:ascii="宋体" w:hAnsi="宋体" w:eastAsia="宋体" w:cs="宋体"/>
          <w:sz w:val="21"/>
          <w:szCs w:val="21"/>
          <w14:ligatures w14:val="none"/>
        </w:rPr>
        <w:t xml:space="preserve">规定支付。</w:t>
      </w:r>
      <w:r/>
    </w:p>
    <w:p>
      <w:pPr>
        <w:spacing w:after="0" w:line="400" w:lineRule="exact"/>
        <w:rPr>
          <w:rFonts w:hint="eastAsia" w:ascii="宋体" w:hAnsi="宋体" w:eastAsia="宋体" w:cs="宋体"/>
          <w:b/>
          <w:sz w:val="24"/>
          <w14:ligatures w14:val="none"/>
        </w:rPr>
      </w:pPr>
      <w:r>
        <w:rPr>
          <w:rFonts w:hint="eastAsia" w:ascii="宋体" w:hAnsi="宋体" w:eastAsia="宋体" w:cs="宋体"/>
          <w:b/>
          <w:bCs/>
          <w:sz w:val="24"/>
          <w14:ligatures w14:val="none"/>
        </w:rPr>
        <w:t xml:space="preserve">14. </w:t>
      </w:r>
      <w:r>
        <w:rPr>
          <w:rFonts w:hint="eastAsia" w:ascii="宋体" w:hAnsi="宋体" w:eastAsia="宋体" w:cs="宋体"/>
          <w:b/>
          <w:sz w:val="24"/>
          <w14:ligatures w14:val="none"/>
        </w:rPr>
        <w:t xml:space="preserve">售后服务</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14.1 除项目不涉及或采购活动中明确约定无须承担外，乙方还应提供下列服务：</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（1）货物的现场移动、安装、调试、启动监督及技术支持；</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（2）提供货物组装和维修所需的专用工具和辅助材料；</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（3）在</w:t>
      </w:r>
      <w:r>
        <w:rPr>
          <w:rFonts w:hint="eastAsia" w:ascii="宋体" w:hAnsi="宋体" w:eastAsia="宋体" w:cs="宋体"/>
          <w:b/>
          <w:bCs/>
          <w:sz w:val="21"/>
          <w:szCs w:val="15"/>
          <w14:ligatures w14:val="none"/>
        </w:rPr>
        <w:t xml:space="preserve">【政府采购合同专用条款】</w:t>
      </w:r>
      <w:r>
        <w:rPr>
          <w:rFonts w:hint="eastAsia" w:ascii="宋体" w:hAnsi="宋体" w:eastAsia="宋体" w:cs="宋体"/>
          <w:sz w:val="21"/>
          <w:szCs w:val="21"/>
          <w14:ligatures w14:val="none"/>
        </w:rPr>
        <w:t xml:space="preserve">约定的期限内对所有的货物实施运行监督、维修，但前提条件是该服务并不能免除乙方在质量保证期内所承担的义务；</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（4）在制造商所在地或指定现场就货物的安装、启动、运营、维护、废弃处置等对甲方操作人员进行培训</w:t>
      </w:r>
      <w:r>
        <w:rPr>
          <w:rFonts w:hint="eastAsia" w:ascii="宋体" w:hAnsi="宋体" w:eastAsia="宋体" w:cs="宋体"/>
          <w:sz w:val="21"/>
          <w:szCs w:val="15"/>
          <w14:ligatures w14:val="none"/>
        </w:rPr>
        <w:t xml:space="preserve">；</w:t>
      </w:r>
      <w:r/>
    </w:p>
    <w:p>
      <w:pPr>
        <w:ind w:firstLine="420"/>
        <w:spacing w:after="0"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（5）依照法律、行政法规的规定或者按照</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约定，货物在有效使用年限届满后应予回收的，乙方负有自行或者委托第三人对货物予以回收的义务；</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w:t>
      </w:r>
      <w:r>
        <w:rPr>
          <w:rFonts w:hint="eastAsia" w:ascii="宋体" w:hAnsi="宋体" w:eastAsia="宋体" w:cs="宋体"/>
          <w:b/>
          <w:sz w:val="21"/>
          <w:szCs w:val="21"/>
          <w14:ligatures w14:val="none"/>
        </w:rPr>
        <w:t xml:space="preserve">【政府采购合同专用条款】</w:t>
      </w:r>
      <w:r>
        <w:rPr>
          <w:rFonts w:hint="eastAsia" w:ascii="宋体" w:hAnsi="宋体" w:eastAsia="宋体" w:cs="宋体"/>
          <w:sz w:val="21"/>
          <w:szCs w:val="21"/>
          <w14:ligatures w14:val="none"/>
        </w:rPr>
        <w:t xml:space="preserve">规定由乙方提供的其他服务。</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14.2 乙方提供的售后服务的费用已包含在合同价款中，甲方不再另行支付。</w:t>
      </w:r>
      <w:r/>
    </w:p>
    <w:p>
      <w:pPr>
        <w:spacing w:after="0" w:line="400" w:lineRule="exact"/>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15. 违约责任</w:t>
      </w:r>
      <w:r/>
    </w:p>
    <w:p>
      <w:pPr>
        <w:ind w:firstLine="420"/>
        <w:spacing w:after="0" w:line="400" w:lineRule="exact"/>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15.1质量瑕疵的违约责任</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乙方提供的产品不符合合同约定的质量标准或存在产品质量缺陷，甲方有权要求乙方根据</w:t>
      </w:r>
      <w:r>
        <w:rPr>
          <w:rFonts w:hint="eastAsia" w:ascii="宋体" w:hAnsi="宋体" w:eastAsia="宋体" w:cs="宋体"/>
          <w:b/>
          <w:sz w:val="21"/>
          <w:szCs w:val="21"/>
          <w14:ligatures w14:val="none"/>
        </w:rPr>
        <w:t xml:space="preserve">【政府采购合同专用条款】</w:t>
      </w:r>
      <w:r>
        <w:rPr>
          <w:rFonts w:hint="eastAsia" w:ascii="宋体" w:hAnsi="宋体" w:eastAsia="宋体" w:cs="宋体"/>
          <w:bCs/>
          <w:sz w:val="21"/>
          <w:szCs w:val="21"/>
          <w14:ligatures w14:val="none"/>
        </w:rPr>
        <w:t xml:space="preserve">要求</w:t>
      </w:r>
      <w:r>
        <w:rPr>
          <w:rFonts w:hint="eastAsia" w:ascii="宋体" w:hAnsi="宋体" w:eastAsia="宋体" w:cs="宋体"/>
          <w:sz w:val="21"/>
          <w:szCs w:val="21"/>
          <w14:ligatures w14:val="none"/>
        </w:rPr>
        <w:t xml:space="preserve">及时修理、重作、更换，并承担由此给甲方造成的损失。</w:t>
      </w:r>
      <w:r/>
    </w:p>
    <w:p>
      <w:pPr>
        <w:ind w:firstLine="420"/>
        <w:spacing w:after="0" w:line="400" w:lineRule="exact"/>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15.2 迟延交货的违约责任</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1"/>
          <w:szCs w:val="21"/>
          <w14:ligatures w14:val="none"/>
        </w:rPr>
        <w:t xml:space="preserve">【政府采购合同专用条款】</w:t>
      </w:r>
      <w:r>
        <w:rPr>
          <w:rFonts w:hint="eastAsia" w:ascii="宋体" w:hAnsi="宋体" w:eastAsia="宋体" w:cs="宋体"/>
          <w:sz w:val="21"/>
          <w:szCs w:val="21"/>
          <w14:ligatures w14:val="none"/>
        </w:rPr>
        <w:t xml:space="preserve">规定执行。如果涉及公共利益，且赔偿金额无法弥补公共利益损失，甲方可要求继续履行或者采取其他补救措施。</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15.3 迟延支付的违约责任</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甲方存在迟延支付乙方合同款项的，应当承担</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规定的逾期付款利息。</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bCs/>
          <w:sz w:val="21"/>
          <w:szCs w:val="21"/>
          <w14:ligatures w14:val="none"/>
        </w:rPr>
        <w:t xml:space="preserve">15.4其他违约责任根据项目实际需要按</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规定执行。</w:t>
      </w:r>
      <w:r/>
    </w:p>
    <w:p>
      <w:pPr>
        <w:numPr>
          <w:ilvl w:val="0"/>
          <w:numId w:val="7"/>
        </w:numPr>
        <w:jc w:val="both"/>
        <w:spacing w:after="0" w:line="400" w:lineRule="exact"/>
        <w:rPr>
          <w:rFonts w:hint="eastAsia" w:ascii="宋体" w:hAnsi="宋体" w:eastAsia="宋体" w:cs="宋体"/>
          <w:b/>
          <w:sz w:val="24"/>
          <w14:ligatures w14:val="none"/>
        </w:rPr>
      </w:pPr>
      <w:r>
        <w:rPr>
          <w:rFonts w:hint="eastAsia" w:ascii="宋体" w:hAnsi="宋体" w:eastAsia="宋体" w:cs="宋体"/>
          <w:b/>
          <w:sz w:val="24"/>
          <w14:ligatures w14:val="none"/>
        </w:rPr>
        <w:t xml:space="preserve">合同变更、中止与终止</w:t>
      </w:r>
      <w:r/>
    </w:p>
    <w:p>
      <w:pPr>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16.1合同的变更</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政府采购合同履行中，在不改变合同其他条款的前提下，甲方可以在合同价款10%的范围内追加与合同标的相同的货物，并就此与乙方协商一致后签订补充协议。</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16.2合同的中止</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（1）合同履行过程中因供应商就采购文件、采购过程或结果提起投诉的，甲方认为有必要的，可以中止合同的履行。</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spacing w:after="0"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after="0" w:line="400" w:lineRule="exact"/>
        <w:rPr>
          <w:rFonts w:hint="eastAsia" w:ascii="宋体" w:hAnsi="宋体" w:eastAsia="宋体" w:cs="宋体"/>
          <w:sz w:val="21"/>
          <w14:ligatures w14:val="none"/>
        </w:rPr>
      </w:pPr>
      <w:r>
        <w:rPr>
          <w:rFonts w:hint="eastAsia" w:ascii="宋体" w:hAnsi="宋体" w:eastAsia="宋体" w:cs="宋体"/>
          <w:sz w:val="21"/>
          <w:szCs w:val="21"/>
          <w14:ligatures w14:val="none"/>
        </w:rPr>
        <w:t xml:space="preserve">（4）甲方不得以行政区划调整、政府换届、机构或者职能调整以及相关责任人更替为由中止合同。</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16.3合同的终止</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（1）合同因有效期限届满而终止；</w:t>
      </w:r>
      <w:r/>
    </w:p>
    <w:p>
      <w:pPr>
        <w:ind w:firstLine="420"/>
        <w:jc w:val="both"/>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（2）乙方未按合同约定履行，构成根本性违约的，甲方有权终止合同，并追究乙方的违约责任。</w:t>
      </w:r>
      <w:r/>
    </w:p>
    <w:p>
      <w:pPr>
        <w:ind w:firstLine="440"/>
        <w:spacing w:after="0" w:line="400" w:lineRule="exact"/>
        <w:widowControl/>
        <w:rPr>
          <w:rFonts w:hint="eastAsia" w:ascii="宋体" w:hAnsi="宋体" w:eastAsia="宋体" w:cs="宋体"/>
          <w:szCs w:val="21"/>
          <w14:ligatures w14:val="none"/>
        </w:rPr>
      </w:pPr>
      <w:r>
        <w:rPr>
          <w:rFonts w:hint="eastAsia" w:ascii="宋体" w:hAnsi="宋体" w:eastAsia="宋体" w:cs="宋体"/>
          <w:szCs w:val="21"/>
          <w14:ligatures w14:val="none"/>
        </w:rPr>
        <w:t xml:space="preserve">16.4 </w:t>
      </w:r>
      <w:r>
        <w:rPr>
          <w:rFonts w:hint="eastAsia" w:ascii="宋体" w:hAnsi="宋体" w:eastAsia="宋体" w:cs="宋体"/>
          <w:sz w:val="21"/>
          <w:szCs w:val="21"/>
          <w14:ligatures w14:val="none"/>
        </w:rPr>
        <w:t xml:space="preserve">涉及国家利益、社会公共利益的情形</w:t>
      </w:r>
      <w:r/>
    </w:p>
    <w:p>
      <w:pPr>
        <w:ind w:firstLine="420"/>
        <w:jc w:val="both"/>
        <w:spacing w:after="0"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政府采购合同继续履行将损害国家利益和社会公共利益的，双方当事人应当变更、中止或者终止合同。有过错的一方应当承担赔偿责任，双方都有过错的，各自承担相应的责任。</w:t>
      </w:r>
      <w:r/>
    </w:p>
    <w:p>
      <w:pPr>
        <w:spacing w:after="0" w:line="400" w:lineRule="exact"/>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17. 合同分包</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17.1 乙方不得将合同转包给其他供应商。涉及合同分包的，乙方应根据采购文件和投标（响应）文件规定进行合同分包。</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17.2 乙方执行政府采购政策向中小企业依法分包的，乙方应当按采购文件和投标（响应）文件签订分包意向协议，分包意向协议属于本合同组成部分。</w:t>
      </w:r>
      <w:r/>
    </w:p>
    <w:p>
      <w:pPr>
        <w:spacing w:after="0" w:line="400" w:lineRule="exact"/>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18. 不可抗力</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18.1 不可抗力是指合同双方不能预见、不能避免且不能克服的客观情况。</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18.2 任何一方对由于不可抗力造成的部分或全部不能履行合同不承担违约责任。但迟延履行后发生不可抗力的，不能免除责任。</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0" w:line="400" w:lineRule="exact"/>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19. 解决争议的方法</w:t>
      </w:r>
      <w:r/>
    </w:p>
    <w:p>
      <w:pPr>
        <w:ind w:firstLine="420"/>
        <w:jc w:val="both"/>
        <w:spacing w:after="0"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spacing w:after="0"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19.2 选择仲裁的，应在</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中明确仲裁机构及仲裁地；通过诉讼方式解决的，可以在</w:t>
      </w:r>
      <w:r>
        <w:rPr>
          <w:rFonts w:hint="eastAsia" w:ascii="宋体" w:hAnsi="宋体" w:eastAsia="宋体" w:cs="宋体"/>
          <w:b/>
          <w:bCs/>
          <w:sz w:val="21"/>
          <w:szCs w:val="21"/>
          <w14:ligatures w14:val="none"/>
        </w:rPr>
        <w:t xml:space="preserve">【政府采购合同专用条款】</w:t>
      </w:r>
      <w:r>
        <w:rPr>
          <w:rFonts w:hint="eastAsia" w:ascii="宋体" w:hAnsi="宋体" w:eastAsia="宋体" w:cs="宋体"/>
          <w:sz w:val="21"/>
          <w:szCs w:val="21"/>
          <w14:ligatures w14:val="none"/>
        </w:rPr>
        <w:t xml:space="preserve">中进一步约定选择与争议有实际联系的地点的人民法院管辖，但管辖法院的约定不得违反级别管辖和专属管辖的规定。</w:t>
      </w:r>
      <w:r/>
    </w:p>
    <w:p>
      <w:pPr>
        <w:ind w:firstLine="420"/>
        <w:jc w:val="both"/>
        <w:spacing w:after="0"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19.3 如甲乙双方有争议的事项不影响合同其他部分的履行，在争议解决期间，合同其他部分应当继续履行。</w:t>
      </w:r>
      <w:r/>
    </w:p>
    <w:p>
      <w:pPr>
        <w:spacing w:after="0" w:line="400" w:lineRule="exact"/>
        <w:rPr>
          <w:rFonts w:hint="eastAsia" w:ascii="宋体" w:hAnsi="宋体" w:eastAsia="宋体" w:cs="宋体"/>
          <w:sz w:val="24"/>
          <w14:ligatures w14:val="none"/>
        </w:rPr>
      </w:pPr>
      <w:r>
        <w:rPr>
          <w:rFonts w:hint="eastAsia" w:ascii="宋体" w:hAnsi="宋体" w:eastAsia="宋体" w:cs="宋体"/>
          <w:b/>
          <w:sz w:val="24"/>
          <w14:ligatures w14:val="none"/>
        </w:rPr>
        <w:t xml:space="preserve">20. 政府采购政策</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20.1 </w:t>
      </w:r>
      <w:r>
        <w:rPr>
          <w:rFonts w:hint="eastAsia" w:ascii="宋体" w:hAnsi="宋体" w:eastAsia="宋体" w:cs="宋体"/>
          <w:sz w:val="21"/>
          <w:lang w:val="en-GB"/>
          <w14:ligatures w14:val="none"/>
        </w:rPr>
        <w:t xml:space="preserve">本合同应当按照规定执行政府采购政策。</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20.2 本合同依法执行政府采购政策的方式和内容，属于合同履约验收的范围。</w:t>
      </w:r>
      <w:r>
        <w:rPr>
          <w:rFonts w:hint="eastAsia" w:ascii="宋体" w:hAnsi="宋体" w:eastAsia="宋体" w:cs="宋体"/>
          <w:sz w:val="21"/>
          <w14:ligatures w14:val="none"/>
        </w:rPr>
        <w:t xml:space="preserve">甲乙双方</w:t>
      </w:r>
      <w:r>
        <w:rPr>
          <w:rFonts w:hint="eastAsia" w:ascii="宋体" w:hAnsi="宋体" w:eastAsia="宋体" w:cs="宋体"/>
          <w:sz w:val="21"/>
          <w:lang w:val="en-GB"/>
          <w14:ligatures w14:val="none"/>
        </w:rPr>
        <w:t xml:space="preserve">未按规定要求执行政府采购政策造成损失的</w:t>
      </w:r>
      <w:r>
        <w:rPr>
          <w:rFonts w:hint="eastAsia" w:ascii="宋体" w:hAnsi="宋体" w:eastAsia="宋体" w:cs="宋体"/>
          <w:sz w:val="21"/>
          <w:szCs w:val="21"/>
          <w14:ligatures w14:val="none"/>
        </w:rPr>
        <w:t xml:space="preserve">，有过错的一方应当承担赔偿责任，双方都有过错的，各自承担相应的责任。</w:t>
      </w:r>
      <w:r/>
    </w:p>
    <w:p>
      <w:pPr>
        <w:ind w:firstLine="420"/>
        <w:jc w:val="both"/>
        <w:spacing w:after="0" w:line="400" w:lineRule="exact"/>
        <w:rPr>
          <w:rFonts w:hint="eastAsia" w:ascii="宋体" w:hAnsi="宋体" w:eastAsia="宋体" w:cs="宋体"/>
          <w:sz w:val="21"/>
          <w:szCs w:val="22"/>
          <w14:ligatures w14:val="none"/>
        </w:rPr>
      </w:pPr>
      <w:r>
        <w:rPr>
          <w:rFonts w:hint="eastAsia" w:ascii="宋体" w:hAnsi="宋体" w:eastAsia="宋体" w:cs="宋体"/>
          <w:sz w:val="21"/>
          <w:szCs w:val="21"/>
          <w14:ligatures w14: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after="0" w:line="400" w:lineRule="exact"/>
        <w:rPr>
          <w:rFonts w:hint="eastAsia" w:ascii="宋体" w:hAnsi="宋体" w:eastAsia="宋体" w:cs="宋体"/>
          <w:b/>
          <w:sz w:val="24"/>
          <w14:ligatures w14:val="none"/>
        </w:rPr>
      </w:pPr>
      <w:r>
        <w:rPr>
          <w:rFonts w:hint="eastAsia" w:ascii="宋体" w:hAnsi="宋体" w:eastAsia="宋体" w:cs="宋体"/>
          <w:b/>
          <w:sz w:val="24"/>
          <w14:ligatures w14:val="none"/>
        </w:rPr>
        <w:t xml:space="preserve">21. 法律适用</w:t>
      </w:r>
      <w:r/>
    </w:p>
    <w:p>
      <w:pPr>
        <w:ind w:firstLine="420"/>
        <w:jc w:val="both"/>
        <w:spacing w:after="0"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21.1 本合同的订立、生效、解释、履行及与本合同有关的争议解决，均适用法律、行政法规。</w:t>
      </w:r>
      <w:r/>
    </w:p>
    <w:p>
      <w:pPr>
        <w:ind w:firstLine="420"/>
        <w:jc w:val="both"/>
        <w:spacing w:after="0"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21.2 本合同条款与法律、行政法规的强制性规定不一致的，双方当事人应按照法律、行政法规的强制性规定修改本合同的相关条款。</w:t>
      </w:r>
      <w:r/>
    </w:p>
    <w:p>
      <w:pPr>
        <w:spacing w:after="0" w:line="400" w:lineRule="exact"/>
        <w:rPr>
          <w:rFonts w:hint="eastAsia" w:ascii="宋体" w:hAnsi="宋体" w:eastAsia="宋体" w:cs="宋体"/>
          <w:b/>
          <w:sz w:val="24"/>
          <w14:ligatures w14:val="none"/>
        </w:rPr>
      </w:pPr>
      <w:r>
        <w:rPr>
          <w:rFonts w:hint="eastAsia" w:ascii="宋体" w:hAnsi="宋体" w:eastAsia="宋体" w:cs="宋体"/>
          <w:b/>
          <w:sz w:val="24"/>
          <w14:ligatures w14:val="none"/>
        </w:rPr>
        <w:t xml:space="preserve">22. 通知</w:t>
      </w:r>
      <w:r/>
    </w:p>
    <w:p>
      <w:pPr>
        <w:ind w:firstLine="420"/>
        <w:jc w:val="both"/>
        <w:spacing w:after="0"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22.1 本合同任何一方向对方发出的通知、信件、数据电文等，应当发送至本合同第一部分《政府采购合同协议书》所约定的通讯地址、联系人、联系电话或电子邮箱。</w:t>
      </w:r>
      <w:r/>
    </w:p>
    <w:p>
      <w:pPr>
        <w:jc w:val="both"/>
        <w:spacing w:after="0" w:line="400" w:lineRule="exact"/>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    22.2 一方当事人变更名称、住所、联系人、联系电话或电子邮箱等信息的，应当在变更后3日内及时书面通知对方，对方实际收到变更通知前的送达仍为有效送达。</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22.3本合同一方给另一方的通知均应采用书面形式，传真或快递送到本合同中规定的对方的地址和办理签收手续。</w:t>
      </w:r>
      <w:r/>
    </w:p>
    <w:p>
      <w:pPr>
        <w:ind w:firstLine="420"/>
        <w:spacing w:after="0" w:line="400" w:lineRule="exact"/>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22.4通知以送达之日或通知书中规定的生效之日起生效，两者中以较迟之日为准。</w:t>
      </w:r>
      <w:r/>
    </w:p>
    <w:p>
      <w:pPr>
        <w:numPr>
          <w:ilvl w:val="0"/>
          <w:numId w:val="8"/>
        </w:numPr>
        <w:jc w:val="both"/>
        <w:spacing w:after="0" w:line="400" w:lineRule="exact"/>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合同未尽事项</w:t>
      </w:r>
      <w:r/>
    </w:p>
    <w:p>
      <w:pPr>
        <w:ind w:firstLine="420"/>
        <w:spacing w:after="0" w:line="400" w:lineRule="exact"/>
        <w:rPr>
          <w:rFonts w:hint="eastAsia" w:ascii="宋体" w:hAnsi="宋体" w:eastAsia="宋体" w:cs="宋体"/>
          <w:bCs/>
          <w:sz w:val="21"/>
          <w:szCs w:val="21"/>
          <w14:ligatures w14:val="none"/>
        </w:rPr>
      </w:pPr>
      <w:r>
        <w:rPr>
          <w:rFonts w:hint="eastAsia" w:ascii="宋体" w:hAnsi="宋体" w:eastAsia="宋体" w:cs="宋体"/>
          <w:bCs/>
          <w:sz w:val="21"/>
          <w:szCs w:val="21"/>
          <w14:ligatures w14:val="none"/>
        </w:rPr>
        <w:t xml:space="preserve">23.1合同未尽事项见</w:t>
      </w:r>
      <w:r>
        <w:rPr>
          <w:rFonts w:hint="eastAsia" w:ascii="宋体" w:hAnsi="宋体" w:eastAsia="宋体" w:cs="宋体"/>
          <w:b/>
          <w:sz w:val="21"/>
          <w:szCs w:val="21"/>
          <w14:ligatures w14:val="none"/>
        </w:rPr>
        <w:t xml:space="preserve">【政府采购合同专用条款】</w:t>
      </w:r>
      <w:r>
        <w:rPr>
          <w:rFonts w:hint="eastAsia" w:ascii="宋体" w:hAnsi="宋体" w:eastAsia="宋体" w:cs="宋体"/>
          <w:bCs/>
          <w:sz w:val="21"/>
          <w:szCs w:val="21"/>
          <w14:ligatures w14:val="none"/>
        </w:rPr>
        <w:t xml:space="preserve">。</w:t>
      </w:r>
      <w:r/>
    </w:p>
    <w:p>
      <w:pPr>
        <w:spacing w:after="0" w:line="400" w:lineRule="exact"/>
        <w:rPr>
          <w:rFonts w:hint="eastAsia" w:ascii="宋体" w:hAnsi="宋体" w:eastAsia="宋体" w:cs="宋体"/>
          <w:sz w:val="28"/>
          <w:szCs w:val="28"/>
          <w14:ligatures w14:val="none"/>
        </w:rPr>
      </w:pPr>
      <w:r>
        <w:rPr>
          <w:rFonts w:hint="eastAsia" w:ascii="宋体" w:hAnsi="宋体" w:eastAsia="宋体" w:cs="宋体"/>
          <w:bCs/>
          <w:sz w:val="21"/>
          <w:szCs w:val="21"/>
          <w14:ligatures w14:val="none"/>
        </w:rPr>
        <w:t xml:space="preserve">    23.2 合同附件与合同正文具有同等的法律效力。</w:t>
      </w:r>
      <w:r/>
    </w:p>
    <w:p>
      <w:pPr>
        <w:jc w:val="center"/>
        <w:keepLines/>
        <w:keepNext/>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br w:type="page" w:clear="all"/>
      </w:r>
      <w:r/>
    </w:p>
    <w:p>
      <w:pPr>
        <w:jc w:val="center"/>
        <w:keepLines/>
        <w:keepNext/>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第三节 政府采购合同专用条款</w:t>
      </w:r>
      <w:bookmarkEnd w:id="192"/>
      <w:r/>
      <w:r/>
    </w:p>
    <w:tbl>
      <w:tblPr>
        <w:tblStyle w:val="790"/>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第1.2（6）项</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联合体具体要求</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604"/>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第1.2（7）项</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其他术语解释</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36"/>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第4.4款</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履约验收中甲方提出异议或作出说明的期限</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36"/>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第4.6款</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约定甲方承担的其他义务和责任</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36"/>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第5.4款</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约定乙方承担的其他义务和责任</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36"/>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第6.1款</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履行合同义务的顺序</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cantSplit/>
          <w:trHeight w:val="667"/>
        </w:trPr>
        <w:tc>
          <w:tcPr>
            <w:tcW w:w="1560" w:type="dxa"/>
            <w:vAlign w:val="center"/>
            <w:vMerge w:val="restart"/>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第7.1款</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包装特殊要求</w:t>
            </w:r>
            <w:r/>
          </w:p>
        </w:tc>
        <w:tc>
          <w:tcPr>
            <w:tcW w:w="5170" w:type="dxa"/>
            <w:vAlign w:val="center"/>
            <w:textDirection w:val="lrTb"/>
            <w:noWrap w:val="false"/>
          </w:tcPr>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cantSplit/>
          <w:trHeight w:val="667"/>
        </w:trPr>
        <w:tc>
          <w:tcPr>
            <w:tcW w:w="1560" w:type="dxa"/>
            <w:vAlign w:val="center"/>
            <w:vMerge w:val="continue"/>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指定现场</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72"/>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第7.2款</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运输特殊要求</w:t>
            </w:r>
            <w:r/>
          </w:p>
        </w:tc>
        <w:tc>
          <w:tcPr>
            <w:tcW w:w="5170" w:type="dxa"/>
            <w:vAlign w:val="center"/>
            <w:textDirection w:val="lrTb"/>
            <w:noWrap w:val="false"/>
          </w:tcPr>
          <w:p>
            <w:pPr>
              <w:spacing w:after="0" w:line="400" w:lineRule="exact"/>
              <w:widowControl/>
              <w:rPr>
                <w:rFonts w:hint="eastAsia" w:ascii="宋体" w:hAnsi="宋体" w:eastAsia="宋体" w:cs="宋体"/>
                <w:szCs w:val="21"/>
                <w14:ligatures w14:val="none"/>
              </w:rPr>
            </w:pPr>
            <w:r>
              <w:rPr>
                <w:rFonts w:hint="eastAsia" w:ascii="宋体" w:hAnsi="宋体" w:eastAsia="宋体" w:cs="宋体"/>
                <w:szCs w:val="21"/>
                <w14:ligatures w14:val="none"/>
              </w:rPr>
            </w:r>
            <w:r/>
          </w:p>
        </w:tc>
      </w:tr>
      <w:tr>
        <w:trPr>
          <w:trHeight w:val="667"/>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第7.3款</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保险要求</w:t>
            </w:r>
            <w:r/>
          </w:p>
        </w:tc>
        <w:tc>
          <w:tcPr>
            <w:tcW w:w="5170" w:type="dxa"/>
            <w:vAlign w:val="center"/>
            <w:textDirection w:val="lrTb"/>
            <w:noWrap w:val="false"/>
          </w:tcPr>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36"/>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第8.2（1）项</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质量保证期</w:t>
            </w:r>
            <w:r/>
          </w:p>
        </w:tc>
        <w:tc>
          <w:tcPr>
            <w:tcW w:w="5170" w:type="dxa"/>
            <w:vAlign w:val="center"/>
            <w:textDirection w:val="lrTb"/>
            <w:noWrap w:val="false"/>
          </w:tcPr>
          <w:p>
            <w:pPr>
              <w:ind w:left="480" w:hanging="480"/>
              <w:jc w:val="both"/>
              <w:spacing w:before="120" w:after="12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36"/>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第8.2（3）项</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货物质量缺陷</w:t>
            </w:r>
            <w:r/>
          </w:p>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响应时间</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36"/>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第8款补充</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质量保证要求</w:t>
            </w:r>
            <w:r/>
          </w:p>
        </w:tc>
        <w:tc>
          <w:tcPr>
            <w:tcW w:w="5170" w:type="dxa"/>
            <w:vAlign w:val="center"/>
            <w:textDirection w:val="lrTb"/>
            <w:noWrap w:val="false"/>
          </w:tcPr>
          <w:p>
            <w:pPr>
              <w:ind w:left="480" w:hanging="480"/>
              <w:spacing w:before="120" w:after="12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36"/>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400" w:lineRule="exact"/>
              <w:widowControl/>
              <w:rPr>
                <w:rFonts w:hint="eastAsia" w:ascii="宋体" w:hAnsi="宋体" w:eastAsia="宋体" w:cs="宋体"/>
                <w:sz w:val="24"/>
                <w14:ligatures w14:val="none"/>
              </w:rPr>
            </w:pPr>
            <w:r>
              <w:rPr>
                <w:rFonts w:hint="eastAsia" w:ascii="宋体" w:hAnsi="宋体" w:eastAsia="宋体" w:cs="宋体"/>
                <w:sz w:val="24"/>
                <w14:ligatures w14:val="none"/>
              </w:rPr>
              <w:t xml:space="preserve">第11.1款</w:t>
            </w:r>
            <w:r/>
          </w:p>
        </w:tc>
        <w:tc>
          <w:tcPr>
            <w:tcW w:w="1789" w:type="dxa"/>
            <w:vAlign w:val="center"/>
            <w:textDirection w:val="lrTb"/>
            <w:noWrap w:val="false"/>
          </w:tcPr>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其他应当保密的信息</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697"/>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第12.2款</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合同价款支付时间及要求</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697"/>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第13.2款</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履约保证金不予退还的情形</w:t>
            </w:r>
            <w:r/>
          </w:p>
        </w:tc>
        <w:tc>
          <w:tcPr>
            <w:tcW w:w="5170" w:type="dxa"/>
            <w:vAlign w:val="center"/>
            <w:textDirection w:val="lrTb"/>
            <w:noWrap w:val="false"/>
          </w:tcPr>
          <w:p>
            <w:pPr>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36"/>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第13.3款</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履约保证金退还时间及逾期退还的违约金</w:t>
            </w:r>
            <w:r/>
          </w:p>
        </w:tc>
        <w:tc>
          <w:tcPr>
            <w:tcW w:w="5170" w:type="dxa"/>
            <w:vAlign w:val="center"/>
            <w:textDirection w:val="lrTb"/>
            <w:noWrap w:val="false"/>
          </w:tcPr>
          <w:p>
            <w:pPr>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84"/>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第14.1（3）项</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运行监督、维修期限</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84"/>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第14.1（5）项</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货物回收的约定</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36"/>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第14.1（6）项</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乙方提供的其他服务</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36"/>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第15.1款</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修理、重作、更换相关具体规定</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36"/>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第15.2（2）项</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迟延交货赔偿费</w:t>
            </w:r>
            <w:r/>
          </w:p>
        </w:tc>
        <w:tc>
          <w:tcPr>
            <w:tcW w:w="5170" w:type="dxa"/>
            <w:vAlign w:val="center"/>
            <w:textDirection w:val="lrTb"/>
            <w:noWrap w:val="false"/>
          </w:tcPr>
          <w:p>
            <w:pPr>
              <w:spacing w:after="0" w:line="240" w:lineRule="auto"/>
              <w:rPr>
                <w:rFonts w:hint="eastAsia" w:ascii="宋体" w:hAnsi="宋体" w:eastAsia="宋体" w:cs="宋体"/>
                <w:sz w:val="24"/>
                <w:u w:val="single"/>
                <w14:ligatures w14:val="none"/>
              </w:rPr>
            </w:pPr>
            <w:r>
              <w:rPr>
                <w:rFonts w:hint="eastAsia" w:ascii="宋体" w:hAnsi="宋体" w:eastAsia="宋体" w:cs="宋体"/>
                <w:sz w:val="24"/>
                <w:u w:val="single"/>
                <w14:ligatures w14:val="none"/>
              </w:rPr>
            </w:r>
            <w:r/>
          </w:p>
        </w:tc>
      </w:tr>
      <w:tr>
        <w:trPr>
          <w:trHeight w:val="736"/>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第15.3款</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逾期付款利息</w:t>
            </w:r>
            <w:r/>
          </w:p>
        </w:tc>
        <w:tc>
          <w:tcPr>
            <w:tcW w:w="5170" w:type="dxa"/>
            <w:vAlign w:val="center"/>
            <w:textDirection w:val="lrTb"/>
            <w:noWrap w:val="false"/>
          </w:tcPr>
          <w:p>
            <w:pPr>
              <w:ind w:left="410" w:hanging="410"/>
              <w:jc w:val="both"/>
              <w:spacing w:before="120" w:after="120" w:line="240" w:lineRule="auto"/>
              <w:rPr>
                <w:rFonts w:hint="eastAsia" w:ascii="宋体" w:hAnsi="宋体" w:eastAsia="宋体" w:cs="宋体"/>
                <w:sz w:val="24"/>
                <w:u w:val="single"/>
                <w14:ligatures w14:val="none"/>
              </w:rPr>
            </w:pPr>
            <w:r>
              <w:rPr>
                <w:rFonts w:hint="eastAsia" w:ascii="宋体" w:hAnsi="宋体" w:eastAsia="宋体" w:cs="宋体"/>
                <w:sz w:val="24"/>
                <w:u w:val="single"/>
                <w14:ligatures w14:val="none"/>
              </w:rPr>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spacing w:after="0" w:line="240" w:lineRule="auto"/>
              <w:rPr>
                <w:rFonts w:hint="eastAsia" w:ascii="宋体" w:hAnsi="宋体" w:eastAsia="宋体" w:cs="宋体"/>
                <w:sz w:val="24"/>
                <w:u w:val="single"/>
                <w14:ligatures w14:val="none"/>
              </w:rPr>
            </w:pPr>
            <w:r>
              <w:rPr>
                <w:rFonts w:hint="eastAsia" w:ascii="宋体" w:hAnsi="宋体" w:eastAsia="宋体" w:cs="宋体"/>
                <w:sz w:val="24"/>
                <w:u w:val="single"/>
                <w14:ligatures w14:val="non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70"/>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第二节</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第23.1款</w:t>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bCs/>
                <w:sz w:val="24"/>
                <w14:ligatures w14:val="none"/>
              </w:rPr>
              <w:t xml:space="preserve">其他专用条款</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70"/>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W w:w="1789" w:type="dxa"/>
            <w:vAlign w:val="center"/>
            <w:textDirection w:val="lrTb"/>
            <w:noWrap w:val="false"/>
          </w:tcPr>
          <w:p>
            <w:pPr>
              <w:spacing w:after="0" w:line="240" w:lineRule="auto"/>
              <w:rPr>
                <w:rFonts w:hint="eastAsia" w:ascii="宋体" w:hAnsi="宋体" w:eastAsia="宋体" w:cs="宋体"/>
                <w:bCs/>
                <w:sz w:val="24"/>
                <w14:ligatures w14:val="none"/>
              </w:rPr>
            </w:pPr>
            <w:r>
              <w:rPr>
                <w:rFonts w:hint="eastAsia" w:ascii="宋体" w:hAnsi="宋体" w:eastAsia="宋体" w:cs="宋体"/>
                <w:bCs/>
                <w:sz w:val="24"/>
                <w14:ligatures w14:val="none"/>
              </w:rPr>
              <w:t xml:space="preserve">税费</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70"/>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W w:w="1789" w:type="dxa"/>
            <w:vAlign w:val="center"/>
            <w:textDirection w:val="lrTb"/>
            <w:noWrap w:val="false"/>
          </w:tcPr>
          <w:p>
            <w:pPr>
              <w:spacing w:after="0" w:line="240" w:lineRule="auto"/>
              <w:rPr>
                <w:rFonts w:hint="eastAsia" w:ascii="宋体" w:hAnsi="宋体" w:eastAsia="宋体" w:cs="宋体"/>
                <w:bCs/>
                <w:sz w:val="24"/>
                <w14:ligatures w14:val="none"/>
              </w:rPr>
            </w:pPr>
            <w:r>
              <w:rPr>
                <w:rFonts w:hint="eastAsia" w:ascii="宋体" w:hAnsi="宋体" w:eastAsia="宋体" w:cs="宋体"/>
                <w:bCs/>
                <w:sz w:val="24"/>
                <w14:ligatures w14:val="none"/>
              </w:rPr>
              <w:t xml:space="preserve">伴随服务</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70"/>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W w:w="1789"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索赔</w:t>
            </w:r>
            <w:r/>
          </w:p>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770"/>
        </w:trPr>
        <w:tc>
          <w:tcPr>
            <w:tcW w:w="1560"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W w:w="1789" w:type="dxa"/>
            <w:vAlign w:val="center"/>
            <w:textDirection w:val="lrTb"/>
            <w:noWrap w:val="false"/>
          </w:tcPr>
          <w:p>
            <w:pPr>
              <w:spacing w:after="0" w:line="240" w:lineRule="auto"/>
              <w:rPr>
                <w:rFonts w:hint="eastAsia" w:ascii="宋体" w:hAnsi="宋体" w:eastAsia="宋体" w:cs="宋体"/>
                <w:bCs/>
                <w:sz w:val="24"/>
                <w14:ligatures w14:val="none"/>
              </w:rPr>
            </w:pPr>
            <w:r>
              <w:rPr>
                <w:rFonts w:hint="eastAsia" w:ascii="宋体" w:hAnsi="宋体" w:eastAsia="宋体" w:cs="宋体"/>
                <w:sz w:val="24"/>
                <w14:ligatures w14:val="none"/>
              </w:rPr>
              <w:t xml:space="preserve">合同生效及其它</w:t>
            </w:r>
            <w:r/>
          </w:p>
        </w:tc>
        <w:tc>
          <w:tcPr>
            <w:tcW w:w="5170" w:type="dxa"/>
            <w:vAlign w:val="center"/>
            <w:textDirection w:val="lrTb"/>
            <w:noWrap w:val="false"/>
          </w:tcPr>
          <w:p>
            <w:pP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bl>
    <w:p>
      <w:pPr>
        <w:jc w:val="center"/>
        <w:spacing w:after="0" w:line="360" w:lineRule="auto"/>
        <w:rPr>
          <w:rFonts w:hint="eastAsia" w:ascii="宋体" w:hAnsi="宋体" w:eastAsia="宋体" w:cs="宋体"/>
          <w:bCs/>
          <w:color w:val="000000"/>
          <w:sz w:val="44"/>
          <w:szCs w:val="21"/>
          <w14:ligatures w14:val="none"/>
        </w:rPr>
        <w:outlineLvl w:val="0"/>
      </w:pPr>
      <w:r>
        <w:rPr>
          <w:rFonts w:hint="eastAsia" w:ascii="宋体" w:hAnsi="宋体" w:eastAsia="宋体" w:cs="宋体"/>
          <w:bCs/>
          <w:sz w:val="44"/>
          <w:szCs w:val="28"/>
          <w14:ligatures w14:val="none"/>
        </w:rPr>
        <w:br w:type="page" w:clear="all"/>
      </w:r>
      <w:bookmarkEnd w:id="186"/>
      <w:r>
        <w:rPr>
          <w:rFonts w:hint="eastAsia" w:ascii="宋体" w:hAnsi="宋体" w:eastAsia="宋体" w:cs="宋体"/>
          <w:bCs/>
          <w:sz w:val="44"/>
          <w:szCs w:val="28"/>
          <w14:ligatures w14:val="none"/>
        </w:rPr>
        <w:t xml:space="preserve">第四章  采购需求</w:t>
      </w:r>
      <w:r/>
    </w:p>
    <w:p>
      <w:pPr>
        <w:jc w:val="both"/>
        <w:keepLines/>
        <w:keepNext/>
        <w:spacing w:after="0" w:line="360" w:lineRule="auto"/>
        <w:rPr>
          <w:rFonts w:hint="eastAsia" w:ascii="宋体" w:hAnsi="宋体" w:eastAsia="宋体" w:cs="宋体"/>
          <w:b/>
          <w:bCs/>
          <w:color w:val="000000"/>
          <w:sz w:val="32"/>
          <w:szCs w:val="32"/>
          <w14:ligatures w14:val="none"/>
        </w:rPr>
        <w:outlineLvl w:val="1"/>
      </w:pPr>
      <w:r/>
      <w:bookmarkStart w:id="194" w:name="OLE_LINK50"/>
      <w:r/>
      <w:bookmarkStart w:id="195" w:name="OLE_LINK49"/>
      <w:r>
        <w:rPr>
          <w:rFonts w:hint="eastAsia" w:ascii="宋体" w:hAnsi="宋体" w:eastAsia="宋体" w:cs="宋体"/>
          <w:b/>
          <w:bCs/>
          <w:color w:val="000000"/>
          <w:sz w:val="32"/>
          <w:szCs w:val="32"/>
          <w14:ligatures w14:val="none"/>
        </w:rPr>
        <w:t xml:space="preserve">一、建设概述及内容</w:t>
      </w:r>
      <w:bookmarkStart w:id="196" w:name="OLE_LINK58"/>
      <w:r/>
      <w:bookmarkEnd w:id="194"/>
      <w:bookmarkEnd w:id="196"/>
      <w:r/>
    </w:p>
    <w:p>
      <w:pPr>
        <w:jc w:val="both"/>
        <w:keepLines/>
        <w:keepNext/>
        <w:spacing w:after="0" w:line="360" w:lineRule="auto"/>
        <w:rPr>
          <w:rFonts w:hint="eastAsia" w:ascii="宋体" w:hAnsi="宋体" w:eastAsia="宋体" w:cs="宋体"/>
          <w:b/>
          <w:bCs/>
          <w:color w:val="000000"/>
          <w:sz w:val="24"/>
          <w14:ligatures w14:val="none"/>
        </w:rPr>
        <w:outlineLvl w:val="2"/>
      </w:pPr>
      <w:r/>
      <w:bookmarkStart w:id="197" w:name="OLE_LINK64"/>
      <w:r>
        <w:rPr>
          <w:rFonts w:hint="eastAsia" w:ascii="宋体" w:hAnsi="宋体" w:eastAsia="宋体" w:cs="宋体"/>
          <w:b/>
          <w:bCs/>
          <w:color w:val="000000"/>
          <w:sz w:val="24"/>
          <w14:ligatures w14:val="none"/>
        </w:rPr>
        <w:t xml:space="preserve">1.1 项目概况</w:t>
      </w:r>
      <w:bookmarkEnd w:id="197"/>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响水县初中理化生实验操作考试标准化考场建设项目是响水县为贯彻落实《教育部关于加强和改进中小学实验教学的实施意见》（基教〔2019〕16号）、《省教育厅关于加强和改进中小学实验教学的实施意见》（苏教基〔2022〕1号）所列“2023年前将实验操作纳入初中学业水平考试，考试成绩纳入高中阶段学校招生录取依据”任务的重要举措，是适应国家中考改革要求，稳妥有序推进中考改革，满足新时期对人才培养和选拔需求的基础性落地项目。</w:t>
      </w:r>
      <w:bookmarkStart w:id="198" w:name="OLE_LINK44"/>
      <w:r/>
      <w:bookmarkEnd w:id="195"/>
      <w:r/>
    </w:p>
    <w:p>
      <w:pPr>
        <w:ind w:firstLine="48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响水县初中理化生实验操作考试标准化考场建设项目计划在县城三所公办初中学校配建实验操作考试标准化考场，用于学校实验教学及全县初中学业水平理化生实验操作考试。其中物理、化学、生物三个学科实验初中各配2间标准化实验考场、向阳中学各配1间标准化实验考场，</w:t>
      </w:r>
      <w:r>
        <w:rPr>
          <w:rFonts w:hint="eastAsia" w:ascii="宋体" w:hAnsi="宋体" w:eastAsia="宋体" w:cs="宋体"/>
          <w:sz w:val="24"/>
          <w:lang w:eastAsia="zh-CN"/>
          <w14:ligatures w14:val="none"/>
        </w:rPr>
        <w:t xml:space="preserve">珠江路实验学校</w:t>
      </w:r>
      <w:r>
        <w:rPr>
          <w:rFonts w:hint="eastAsia" w:ascii="宋体" w:hAnsi="宋体" w:eastAsia="宋体" w:cs="宋体"/>
          <w:sz w:val="24"/>
          <w14:ligatures w14:val="none"/>
        </w:rPr>
        <w:t xml:space="preserve">各配3间标准化实验考场共18间；校级实验操作考试管理中心3间；县级实验操作考试管理中心1间。县级管理中心部署于响水县教育局指定内，校级管理中心部署于各学校实验楼内。</w:t>
      </w:r>
      <w:bookmarkEnd w:id="198"/>
      <w:r/>
    </w:p>
    <w:p>
      <w:pPr>
        <w:jc w:val="both"/>
        <w:keepLines/>
        <w:keepNext/>
        <w:spacing w:after="0" w:line="360" w:lineRule="auto"/>
        <w:rPr>
          <w:rFonts w:hint="eastAsia" w:ascii="宋体" w:hAnsi="宋体" w:eastAsia="宋体" w:cs="宋体"/>
          <w:b/>
          <w:bCs/>
          <w:color w:val="000000"/>
          <w:sz w:val="24"/>
          <w14:ligatures w14:val="none"/>
        </w:rPr>
        <w:outlineLvl w:val="2"/>
      </w:pPr>
      <w:r>
        <w:rPr>
          <w:rFonts w:hint="eastAsia" w:ascii="宋体" w:hAnsi="宋体" w:eastAsia="宋体" w:cs="宋体"/>
          <w:b/>
          <w:bCs/>
          <w:color w:val="000000"/>
          <w:sz w:val="24"/>
          <w14:ligatures w14:val="none"/>
        </w:rPr>
        <w:t xml:space="preserve">1.2建设内容</w:t>
      </w:r>
      <w:r/>
    </w:p>
    <w:p>
      <w:pPr>
        <w:jc w:val="both"/>
        <w:keepLines/>
        <w:keepNext/>
        <w:spacing w:after="0" w:line="360" w:lineRule="auto"/>
        <w:rPr>
          <w:rFonts w:hint="eastAsia" w:ascii="宋体" w:hAnsi="宋体" w:eastAsia="宋体" w:cs="宋体"/>
          <w:b/>
          <w:bCs/>
          <w:color w:val="000000"/>
          <w:sz w:val="24"/>
          <w14:ligatures w14:val="none"/>
        </w:rPr>
        <w:outlineLvl w:val="3"/>
      </w:pPr>
      <w:r/>
      <w:bookmarkStart w:id="199" w:name="OLE_LINK48"/>
      <w:r>
        <w:rPr>
          <w:rFonts w:hint="eastAsia" w:ascii="宋体" w:hAnsi="宋体" w:eastAsia="宋体" w:cs="宋体"/>
          <w:b/>
          <w:bCs/>
          <w:color w:val="000000"/>
          <w:sz w:val="24"/>
          <w14:ligatures w14:val="none"/>
        </w:rPr>
        <w:t xml:space="preserve">1.2.1</w:t>
      </w:r>
      <w:bookmarkStart w:id="200" w:name="OLE_LINK47"/>
      <w:r>
        <w:rPr>
          <w:rFonts w:hint="eastAsia" w:ascii="宋体" w:hAnsi="宋体" w:eastAsia="宋体" w:cs="宋体"/>
          <w:b/>
          <w:bCs/>
          <w:color w:val="000000"/>
          <w:sz w:val="24"/>
          <w14:ligatures w14:val="none"/>
        </w:rPr>
        <w:t xml:space="preserve">实验操作</w:t>
      </w:r>
      <w:bookmarkEnd w:id="200"/>
      <w:r>
        <w:rPr>
          <w:rFonts w:hint="eastAsia" w:ascii="宋体" w:hAnsi="宋体" w:eastAsia="宋体" w:cs="宋体"/>
          <w:b/>
          <w:bCs/>
          <w:color w:val="000000"/>
          <w:sz w:val="24"/>
          <w14:ligatures w14:val="none"/>
        </w:rPr>
        <w:t xml:space="preserve">考试专网建设</w:t>
      </w:r>
      <w:bookmarkEnd w:id="199"/>
      <w:r/>
    </w:p>
    <w:p>
      <w:pPr>
        <w:ind w:firstLine="480"/>
        <w:jc w:val="both"/>
        <w:spacing w:after="0" w:line="360" w:lineRule="auto"/>
        <w:widowControl/>
        <w:rPr>
          <w:rFonts w:hint="eastAsia" w:ascii="宋体" w:hAnsi="宋体" w:eastAsia="宋体" w:cs="宋体"/>
          <w:bCs/>
          <w:color w:val="000000"/>
          <w:sz w:val="24"/>
          <w14:ligatures w14:val="none"/>
        </w:rPr>
      </w:pPr>
      <w:r>
        <w:rPr>
          <w:rFonts w:hint="eastAsia" w:ascii="宋体" w:hAnsi="宋体" w:eastAsia="宋体" w:cs="宋体"/>
          <w:bCs/>
          <w:color w:val="000000"/>
          <w:sz w:val="24"/>
          <w14:ligatures w14:val="none"/>
        </w:rPr>
        <w:t xml:space="preserve">各学校标准化实验考场与校级管理中心、校级管理中心与县级管理中</w:t>
      </w:r>
      <w:r>
        <w:rPr>
          <w:rFonts w:hint="eastAsia" w:ascii="宋体" w:hAnsi="宋体" w:eastAsia="宋体" w:cs="宋体"/>
          <w:bCs/>
          <w:color w:val="000000"/>
          <w:sz w:val="24"/>
          <w14:ligatures w14:val="none"/>
        </w:rPr>
        <w:t xml:space="preserve">心之间均须通过专线互联，光纤互备，互联带宽≥10G，网络延时≤1ms,分配独立的IP地址空间，县级管理中心设备必须通过专线与教育城域网互联互通，后期能与市级相关考试平台实现数据对接，需要对接时，中标方免费组织厂家与市级相关考试平台在一个月内完成对接，甲方不额外支付对接费用。项目实施后，将解决中考实验教学操作考试实施各环节组织问题，实现对中考实验教学考试过程中的前期考试安排、考题设定，中期考试录像、远程巡考，AI智能赋分、人工二次在线评阅、数据归档的全方位考试记录，确保考试过程和结果公平、公正、高效顺利实施。</w:t>
      </w:r>
      <w:r/>
    </w:p>
    <w:p>
      <w:pPr>
        <w:jc w:val="both"/>
        <w:keepLines/>
        <w:keepNext/>
        <w:spacing w:after="0" w:line="360" w:lineRule="auto"/>
        <w:rPr>
          <w:rFonts w:hint="eastAsia" w:ascii="宋体" w:hAnsi="宋体" w:eastAsia="宋体" w:cs="宋体"/>
          <w:b/>
          <w:bCs/>
          <w:color w:val="000000"/>
          <w:sz w:val="24"/>
          <w14:ligatures w14:val="none"/>
        </w:rPr>
        <w:outlineLvl w:val="3"/>
      </w:pPr>
      <w:r/>
      <w:bookmarkStart w:id="201" w:name="OLE_LINK7"/>
      <w:r>
        <w:rPr>
          <w:rFonts w:hint="eastAsia" w:ascii="宋体" w:hAnsi="宋体" w:eastAsia="宋体" w:cs="宋体"/>
          <w:b/>
          <w:bCs/>
          <w:color w:val="000000"/>
          <w:sz w:val="24"/>
          <w14:ligatures w14:val="none"/>
        </w:rPr>
        <w:t xml:space="preserve">1.2.2实验</w:t>
      </w:r>
      <w:bookmarkStart w:id="202" w:name="OLE_LINK4"/>
      <w:r>
        <w:rPr>
          <w:rFonts w:hint="eastAsia" w:ascii="宋体" w:hAnsi="宋体" w:eastAsia="宋体" w:cs="宋体"/>
          <w:b/>
          <w:bCs/>
          <w:color w:val="000000"/>
          <w:sz w:val="24"/>
          <w14:ligatures w14:val="none"/>
        </w:rPr>
        <w:t xml:space="preserve">操作建设内</w:t>
      </w:r>
      <w:bookmarkEnd w:id="202"/>
      <w:r>
        <w:rPr>
          <w:rFonts w:hint="eastAsia" w:ascii="宋体" w:hAnsi="宋体" w:eastAsia="宋体" w:cs="宋体"/>
          <w:b/>
          <w:bCs/>
          <w:color w:val="000000"/>
          <w:sz w:val="24"/>
          <w14:ligatures w14:val="none"/>
        </w:rPr>
        <w:t xml:space="preserve">容</w:t>
      </w:r>
      <w:bookmarkEnd w:id="201"/>
      <w:r/>
    </w:p>
    <w:p>
      <w:pPr>
        <w:ind w:firstLine="480"/>
        <w:jc w:val="both"/>
        <w:spacing w:after="0" w:line="360" w:lineRule="auto"/>
        <w:rPr>
          <w:rFonts w:hint="eastAsia" w:ascii="宋体" w:hAnsi="宋体" w:eastAsia="宋体" w:cs="宋体"/>
          <w:color w:val="000000"/>
          <w:sz w:val="24"/>
          <w14:ligatures w14:val="none"/>
        </w:rPr>
      </w:pPr>
      <w:r/>
      <w:bookmarkStart w:id="203" w:name="OLE_LINK45"/>
      <w:r/>
      <w:bookmarkStart w:id="204" w:name="OLE_LINK3"/>
      <w:r>
        <w:rPr>
          <w:rFonts w:hint="eastAsia" w:ascii="宋体" w:hAnsi="宋体" w:eastAsia="宋体" w:cs="宋体"/>
          <w:color w:val="000000"/>
          <w:sz w:val="24"/>
          <w14:ligatures w14:val="none"/>
        </w:rPr>
        <w:t xml:space="preserve">本项目为响水县初中理化生实验操作标准化考场实验教学、考评设备及考试保障服务项目，其中采购设备包含：</w:t>
      </w:r>
      <w:r/>
    </w:p>
    <w:tbl>
      <w:tblPr>
        <w:tblStyle w:val="79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87"/>
        <w:gridCol w:w="2237"/>
        <w:gridCol w:w="680"/>
        <w:gridCol w:w="970"/>
        <w:gridCol w:w="902"/>
        <w:gridCol w:w="1078"/>
        <w:gridCol w:w="912"/>
        <w:gridCol w:w="1053"/>
      </w:tblGrid>
      <w:tr>
        <w:trPr>
          <w:trHeight w:val="454"/>
          <w:tblHeader/>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响水县</w:t>
            </w:r>
            <w:r>
              <w:rPr>
                <w:rFonts w:hint="eastAsia" w:ascii="宋体" w:hAnsi="宋体" w:eastAsia="宋体" w:cs="宋体"/>
                <w:b/>
                <w:bCs/>
                <w:color w:val="000000"/>
                <w:sz w:val="21"/>
                <w:szCs w:val="21"/>
                <w:lang w:bidi="ar"/>
              </w:rPr>
              <w:br/>
            </w:r>
            <w:r>
              <w:rPr>
                <w:rFonts w:hint="eastAsia" w:ascii="宋体" w:hAnsi="宋体" w:eastAsia="宋体" w:cs="宋体"/>
                <w:b/>
                <w:bCs/>
                <w:color w:val="000000"/>
                <w:sz w:val="21"/>
                <w:szCs w:val="21"/>
                <w:lang w:bidi="ar"/>
              </w:rPr>
              <w:t xml:space="preserve">实验初级中学</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响水县</w:t>
            </w:r>
            <w:r>
              <w:rPr>
                <w:rFonts w:hint="eastAsia" w:ascii="宋体" w:hAnsi="宋体" w:eastAsia="宋体" w:cs="宋体"/>
                <w:b/>
                <w:bCs/>
                <w:color w:val="000000"/>
                <w:sz w:val="21"/>
                <w:szCs w:val="21"/>
                <w:lang w:bidi="ar"/>
              </w:rPr>
              <w:br/>
            </w:r>
            <w:r>
              <w:rPr>
                <w:rFonts w:hint="eastAsia" w:ascii="宋体" w:hAnsi="宋体" w:eastAsia="宋体" w:cs="宋体"/>
                <w:b/>
                <w:bCs/>
                <w:color w:val="000000"/>
                <w:sz w:val="21"/>
                <w:szCs w:val="21"/>
                <w:lang w:bidi="ar"/>
              </w:rPr>
              <w:t xml:space="preserve">向阳中学</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bidi="ar"/>
              </w:rPr>
              <w:t xml:space="preserve">响水县</w:t>
            </w:r>
            <w:r>
              <w:rPr>
                <w:rFonts w:hint="eastAsia" w:ascii="宋体" w:hAnsi="宋体" w:eastAsia="宋体" w:cs="宋体"/>
                <w:b/>
                <w:bCs/>
                <w:color w:val="000000"/>
                <w:sz w:val="21"/>
                <w:szCs w:val="21"/>
                <w:lang w:bidi="ar"/>
              </w:rPr>
              <w:br/>
            </w:r>
            <w:r>
              <w:rPr>
                <w:rFonts w:hint="eastAsia" w:ascii="宋体" w:hAnsi="宋体" w:eastAsia="宋体" w:cs="宋体"/>
                <w:b/>
                <w:bCs/>
                <w:color w:val="000000"/>
                <w:sz w:val="21"/>
                <w:szCs w:val="21"/>
                <w:lang w:bidi="ar"/>
              </w:rPr>
              <w:t xml:space="preserve">珠江路</w:t>
            </w:r>
            <w:r>
              <w:rPr>
                <w:rFonts w:hint="eastAsia" w:ascii="宋体" w:hAnsi="宋体" w:eastAsia="宋体" w:cs="宋体"/>
                <w:b/>
                <w:bCs/>
                <w:color w:val="000000"/>
                <w:sz w:val="21"/>
                <w:szCs w:val="21"/>
                <w:lang w:eastAsia="zh-CN" w:bidi="ar"/>
              </w:rPr>
              <w:t xml:space="preserve">实验学校</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县级管理中心</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数量合计</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便携式学生实验考评终端</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499</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显微镜</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178</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电子目镜</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178</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多功能实验讲台</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智慧实验升降桌</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spacing w:beforeAutospacing="1"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接入交换机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汇聚交换（校级）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汇聚交换（县级）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校级数据中心</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县级数据中心</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实验教学课堂管理软件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实验考试学生端软件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499</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实验操作考场管理软件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AI智能赋分系统</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考点管理软件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视频与流媒体管理平台软件（校级）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实验教学管理平台</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考场考试技术服务</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数据管理中心软件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实验统考管理平台软件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抽签软件</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视频与流媒体管理平台软件（县级）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实验教学资源库</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实验操作考试专网建设</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设备集成及考试保障服务等</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智能视频存储</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36</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硬盘</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144</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桌垫</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252</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499</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移动工作站</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塔式工作站</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固态移动硬盘</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服务器机柜（含PDU插座）</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高拍仪</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标签机</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台</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管理中心强弱电线材及安装</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间</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玻璃隔断</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间</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实验室文化布置</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间</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18</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管理中心文化布置</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间</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珠江路实验室布线改造及实验器材等</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r>
      <w:tr>
        <w:trPr>
          <w:trHeight w:val="45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31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向阳中学原化学吊装实验室电路改造</w:t>
            </w:r>
            <w:r/>
          </w:p>
        </w:tc>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spacing w:after="0"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bookmarkEnd w:id="203"/>
            <w:bookmarkEnd w:id="204"/>
            <w:r/>
          </w:p>
        </w:tc>
      </w:tr>
    </w:tbl>
    <w:p>
      <w:pPr>
        <w:rPr>
          <w:rFonts w:hint="eastAsia" w:ascii="宋体" w:hAnsi="宋体" w:eastAsia="宋体" w:cs="宋体"/>
          <w:sz w:val="24"/>
          <w14:ligatures w14:val="none"/>
        </w:rPr>
      </w:pPr>
      <w:r/>
      <w:bookmarkStart w:id="205" w:name="OLE_LINK46"/>
      <w:r>
        <w:rPr>
          <w:rFonts w:hint="eastAsia" w:ascii="宋体" w:hAnsi="宋体" w:eastAsia="宋体" w:cs="宋体"/>
          <w:sz w:val="24"/>
          <w14:ligatures w14:val="none"/>
        </w:rPr>
        <w:br w:type="page" w:clear="all"/>
      </w:r>
      <w:bookmarkEnd w:id="205"/>
      <w:r/>
    </w:p>
    <w:p>
      <w:pPr>
        <w:spacing w:after="0" w:line="360" w:lineRule="auto"/>
        <w:rPr>
          <w:rFonts w:hint="eastAsia" w:ascii="宋体" w:hAnsi="宋体" w:eastAsia="宋体" w:cs="宋体"/>
          <w:b/>
          <w:bCs/>
          <w:sz w:val="36"/>
          <w:szCs w:val="36"/>
          <w14:ligatures w14:val="none"/>
        </w:rPr>
        <w:outlineLvl w:val="1"/>
      </w:pPr>
      <w:r/>
      <w:bookmarkStart w:id="206" w:name="OLE_LINK63"/>
      <w:r>
        <w:rPr>
          <w:rFonts w:hint="eastAsia" w:ascii="宋体" w:hAnsi="宋体" w:eastAsia="宋体" w:cs="宋体"/>
          <w:b/>
          <w:bCs/>
          <w:sz w:val="36"/>
          <w:szCs w:val="36"/>
          <w14:ligatures w14:val="none"/>
        </w:rPr>
        <w:t xml:space="preserve">二、采购标的清单</w:t>
      </w:r>
      <w:bookmarkEnd w:id="206"/>
      <w:r/>
    </w:p>
    <w:p>
      <w:pPr>
        <w:ind w:firstLine="482"/>
        <w:jc w:val="both"/>
        <w:spacing w:after="0" w:line="360" w:lineRule="auto"/>
        <w:rPr>
          <w:rFonts w:hint="eastAsia" w:ascii="宋体" w:hAnsi="宋体" w:eastAsia="宋体" w:cs="宋体"/>
          <w:b/>
          <w:bCs/>
          <w:color w:val="ff0000"/>
          <w:sz w:val="24"/>
          <w:lang w:bidi="ar"/>
          <w14:ligatures w14:val="none"/>
        </w:rPr>
      </w:pPr>
      <w:r>
        <w:rPr>
          <w:rFonts w:hint="eastAsia" w:ascii="宋体" w:hAnsi="宋体" w:eastAsia="宋体" w:cs="宋体"/>
          <w:b/>
          <w:bCs/>
          <w:color w:val="ff0000"/>
          <w:sz w:val="24"/>
          <w14:ligatures w14:val="none"/>
        </w:rPr>
        <w:t xml:space="preserve">核心产品：</w:t>
      </w:r>
      <w:r>
        <w:rPr>
          <w:rFonts w:hint="eastAsia" w:ascii="宋体" w:hAnsi="宋体" w:eastAsia="宋体" w:cs="宋体"/>
          <w:b/>
          <w:bCs/>
          <w:color w:val="ff0000"/>
          <w:sz w:val="24"/>
          <w:lang w:bidi="ar"/>
          <w14:ligatures w14:val="none"/>
        </w:rPr>
        <w:t xml:space="preserve">便携式学生实验考评终端。</w:t>
      </w:r>
      <w:r/>
    </w:p>
    <w:p>
      <w:pPr>
        <w:rPr>
          <w:rFonts w:hint="eastAsia"/>
        </w:rPr>
      </w:pPr>
      <w:r>
        <w:rPr>
          <w:rFonts w:hint="eastAsia"/>
        </w:rPr>
      </w:r>
      <w:r/>
    </w:p>
    <w:tbl>
      <w:tblPr>
        <w:tblStyle w:val="790"/>
        <w:tblW w:w="8975" w:type="dxa"/>
        <w:tblInd w:w="99" w:type="dxa"/>
        <w:tblLayout w:type="autofit"/>
        <w:tblCellMar>
          <w:left w:w="108" w:type="dxa"/>
          <w:top w:w="0" w:type="dxa"/>
          <w:right w:w="108" w:type="dxa"/>
          <w:bottom w:w="0" w:type="dxa"/>
        </w:tblCellMar>
        <w:tblLook w:val="04A0" w:firstRow="1" w:lastRow="0" w:firstColumn="1" w:lastColumn="0" w:noHBand="0" w:noVBand="1"/>
      </w:tblPr>
      <w:tblGrid>
        <w:gridCol w:w="998"/>
        <w:gridCol w:w="1555"/>
        <w:gridCol w:w="4508"/>
        <w:gridCol w:w="957"/>
        <w:gridCol w:w="957"/>
      </w:tblGrid>
      <w:tr>
        <w:trPr>
          <w:trHeight w:val="240"/>
        </w:trPr>
        <w:tc>
          <w:tcPr>
            <w:gridSpan w:val="5"/>
            <w:tcBorders>
              <w:top w:val="single" w:color="000000" w:sz="4" w:space="0"/>
              <w:left w:val="single" w:color="000000" w:sz="4" w:space="0"/>
              <w:bottom w:val="single" w:color="000000" w:sz="4" w:space="0"/>
              <w:right w:val="single" w:color="000000" w:sz="4" w:space="0"/>
            </w:tcBorders>
            <w:tcW w:w="8975" w:type="dxa"/>
            <w:vAlign w:val="center"/>
            <w:textDirection w:val="lrTb"/>
            <w:noWrap w:val="false"/>
          </w:tcPr>
          <w:p>
            <w:pPr>
              <w:jc w:val="center"/>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响水县初中理化生实验操作标准化考场建设项目</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jc w:val="center"/>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招标参数</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数量</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单位</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便携式学生实验考评终端</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jc w:val="both"/>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一、理化生实验采集终端</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理化生实验采集终端为实验室教考场景设计的多功能一体化终端，集学生实验信息显示、视频采集与交互功能于一体。设备支持学生登录系统进行实验学习活动，同时具备与其他信息化设备的扩展接入能力，满足多样化教学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2、理化生实验采集终端由教考终端、视频采集终端、交互教学主板等主要零部件构成，支持展开和折叠操作。</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3.为保障设备散热性能，设备需配置金属材质控制盒，方便快速散热，以确保设备稳定运行；</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4.尺寸：</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静默状态（所有部件全部折叠）尺寸：≤400*200*450mm；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工作状态（所有部件全部展开）尺寸：≤800*350*720mm。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教考终端由可收纳摄像机、可调节教学互动屏、交互教学主板、底座构成，需采用一体化设计，支持多种外部设备的接入，线材无外漏；</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二、可调节教学互动屏</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1.屏幕尺寸≥ 15.6 英寸；</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2.屏幕分辨率≥1920×1080（1080P）；</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3.支持多点触摸，不低于10点触摸；</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4.为满足不同学生最佳的考试视觉效果，支持屏幕旋转；</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5.为保证教学质量和设备耐用性，触摸屏需具有较高透明度和表面硬度；</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6.学习操作流畅安全</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三、可收纳摄像机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1.数量：可伸缩折叠摄像机数量不少于2个，提供不少于侧视、俯视视角画面，需保证一路用于全局画面才，一路用于侧面操作细节采集，且整个实验过程中无需再次调节摄像头；</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2.清晰度：≥ 2560×1440像素；</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视频：拍摄视频的最高分辨率应支持≥1440P（400万像素），帧率≥30FPS；视频压缩编码标准可设置为H.264、H.265、MJPEG；单个5分钟时长的视频文件≤150MB。提供带CMA标识的第三方检测机构出具的检测报告复印件并加盖投标单位公章。</w:t>
            </w:r>
            <w:r>
              <w:rPr>
                <w:rFonts w:hint="eastAsia" w:ascii="微软雅黑" w:hAnsi="微软雅黑" w:eastAsia="微软雅黑" w:cs="微软雅黑"/>
                <w:b/>
                <w:bCs/>
                <w:sz w:val="20"/>
                <w:szCs w:val="20"/>
                <w:lang w:bidi="ar"/>
              </w:rPr>
              <w:t xml:space="preserve">（投标文件中提供相关证明材料并加盖投标人公章，相关证明材料包括但不限于响应该条技术参数及功能指标、提供符合该条技术参数及功能指标的证明材料等。中标通知书发出之日起15日内须提供具有CMA标识的检测报告，不提供视为无故放弃中标资格，如给采购人造成了损失，采购人将依法追究相关责任）。</w:t>
            </w:r>
            <w:r>
              <w:rPr>
                <w:rFonts w:hint="eastAsia" w:ascii="微软雅黑" w:hAnsi="微软雅黑" w:eastAsia="微软雅黑" w:cs="微软雅黑"/>
                <w:color w:val="ff0000"/>
                <w:sz w:val="20"/>
                <w:szCs w:val="20"/>
                <w:lang w:bidi="ar"/>
              </w:rPr>
              <w:br/>
            </w:r>
            <w:r>
              <w:rPr>
                <w:rFonts w:hint="eastAsia" w:ascii="微软雅黑" w:hAnsi="微软雅黑" w:eastAsia="微软雅黑" w:cs="微软雅黑"/>
                <w:color w:val="000000"/>
                <w:sz w:val="20"/>
                <w:szCs w:val="20"/>
                <w:lang w:bidi="ar"/>
              </w:rPr>
              <w:t xml:space="preserve">4.不需要考试的时候，侧面、全局摄像头及支杆可以折叠，方便收纳。</w:t>
            </w:r>
            <w:r/>
          </w:p>
          <w:p>
            <w:pPr>
              <w:jc w:val="both"/>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5.侧视摄像头支持5档角度调节，即高档位、高中档位、中档位、中低档位、低档位，满足不同实验的考试和教学需求。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 终端应具备内置人脸摄像头，其分辨率应不低于1080P（200万像素）；提供带CMA标识的第三方检测机构出具的检测报告复印件并加盖投标单位公章。</w:t>
            </w:r>
            <w:r>
              <w:rPr>
                <w:rFonts w:hint="eastAsia" w:ascii="微软雅黑" w:hAnsi="微软雅黑" w:eastAsia="微软雅黑" w:cs="微软雅黑"/>
                <w:b/>
                <w:bCs/>
                <w:sz w:val="20"/>
                <w:szCs w:val="20"/>
                <w:lang w:bidi="ar"/>
              </w:rPr>
              <w:t xml:space="preserve">（投标文件中提供相关证明材料并加盖投标人公章，相关证明材料包括但不限于响应该条技术参数及功能指标、提供符合该条技术参数及功能指标的证明材料等。中标通知书发出之日起15日内须提供具有CMA标识的检测报告，不提供视为无故放弃中标资格，如给采购人造成了损失，采购人将依法追究相关责任）。</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 终端应具备人证核验功能，支持将现场采集的活体人脸图像与人员证件照片或人脸特征信息进行1:1人脸识别，并给出人证一致性核验结果；提供带CMA标识的第三方检测机构出具的检测报告复印件并加盖投标单位公章。</w:t>
            </w:r>
            <w:r>
              <w:rPr>
                <w:rFonts w:hint="eastAsia" w:ascii="微软雅黑" w:hAnsi="微软雅黑" w:eastAsia="微软雅黑" w:cs="微软雅黑"/>
                <w:b/>
                <w:bCs/>
                <w:sz w:val="20"/>
                <w:szCs w:val="20"/>
                <w:lang w:bidi="ar"/>
              </w:rPr>
              <w:t xml:space="preserve">（投标文件中提供相关证明材料并加盖投标人公章，相关证明材料包括但不限于响应该条技术参数及功能指标、提供符合该条技术参数及功能指标的证明材料等。中标通知书发出之日起15日内须提供具有CMA标识的检测报告，不提供视为无故放弃中标资格，如给采购人造成了损失，采购人将依法追究相关责任）。</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四、交互教学主板</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1.采用国产主控芯片方案，配置不低于4核心64位，最高主频不低于2.0GHz，集成不低于0.8TOPS算力；</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2.内存：不低于4GB；</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3.内置存储：≥128GB；</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 终端应具备有线或无线通信接口，支持采用1000M网口有线方式和WiFi6无线方式联网，其中支持802.11b/g/n/AC/AX协议、2.4GHz和5GHz双频段。提供带CMA标识的第三方检测机构出具的检测报告复印件并加盖投标单位公章。</w:t>
            </w:r>
            <w:r>
              <w:rPr>
                <w:rFonts w:hint="eastAsia" w:ascii="微软雅黑" w:hAnsi="微软雅黑" w:eastAsia="微软雅黑" w:cs="微软雅黑"/>
                <w:b/>
                <w:bCs/>
                <w:sz w:val="20"/>
                <w:szCs w:val="20"/>
                <w:lang w:bidi="ar"/>
              </w:rPr>
              <w:t xml:space="preserve">（投标文件中提供相关证明材料并加盖投标人公章，相关证明材料包括但不限于响应该条技术参数及功能指标、提供符合该条技术参数及功能指标的证明材料等。中标通知书发出之日起15日内须提供具有CMA标识的检测报告，不提供视为无故放弃中标资格，如给采购人造成了损失，采购人将依法追究相关责任）。</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▲5.接口配置：终端应采用不少于3个USB 2.0扩展接口，并支持通过USB接口接入电子目镜或数码显微镜显示图像。提供带CMA标识的第三方检测机构出具的检测报告复印件并加盖投标单位公章。</w:t>
            </w:r>
            <w:r>
              <w:rPr>
                <w:rFonts w:hint="eastAsia" w:ascii="微软雅黑" w:hAnsi="微软雅黑" w:eastAsia="微软雅黑" w:cs="微软雅黑"/>
                <w:b/>
                <w:bCs/>
                <w:sz w:val="20"/>
                <w:szCs w:val="20"/>
                <w:lang w:bidi="ar"/>
              </w:rPr>
              <w:t xml:space="preserve">（投标文件中提供相关证明材料并加盖投标人公章，相关证明材料包括但不限于响应该条技术参数及功能指标、提供符合该条技术参数及功能指标的证明材料等。中标通知书发出之日起15日内须提供具有CMA标识的检测报告，不提供视为无故放弃中标资格，如给采购人造成了损失，采购人将依法追究相关责任）。</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6.可实现教师与学生之间的信息交流与互动。具备良好的兼容性，能够接入多种外部设备。</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五、底座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▲1.底座具备固定功能；可用于标准实验桌，其中底座占用空间应在15cm×30cm范围内。提供带CMA标识的第三方检测机构出具的检测报告复印件并加盖投标单位公章。</w:t>
            </w:r>
            <w:r>
              <w:rPr>
                <w:rFonts w:hint="eastAsia" w:ascii="微软雅黑" w:hAnsi="微软雅黑" w:eastAsia="微软雅黑" w:cs="微软雅黑"/>
                <w:b/>
                <w:bCs/>
                <w:sz w:val="20"/>
                <w:szCs w:val="20"/>
                <w:lang w:bidi="ar"/>
              </w:rPr>
              <w:t xml:space="preserve">（投标文件中提供相关证明材料并加盖投标人公章，相关证明材料包括但不限于响应该条技术参数及功能指标、提供符合该条技术参数及功能指标的证明材料等。中标通知书发出之日起15日内须提供具有CMA标识的检测报告，不提供视为无故放弃中标资格，如给采购人造成了损失，采购人将依法追究相关责任）。</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6.可实现教师与学生之间的信息交流与互动。具备良好的兼容性，能够接入多种外部设备。</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六、维保便捷</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1.为保障日常维护便捷性，且学生日常操作不易碰到，应在终端背部设置快拆检修盖板，支持免工具拆卸；</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2.电源接口、网线接口采用隐藏式设计，不外露，避免被学生轻易拔插；</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3.终端底部左右两侧设置插线孔，网线和电源线和从任一插线孔引出，有效应对各种安装环境；</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499</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显微镜</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1、放大倍数：50X-1600X。</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2、整机结构件：材料要求:底座、镜臂、齿条、物镜和目镜镜筒均为金属制, 齿条、滑座传动部件为黄铜材料。</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3、目镜：H5X、H10X、H16X惠更斯目镜。</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4、物镜：10X、40X、100X,所有物镜均保证齐焦，带有限位装置，可防止物镜压坏切片致使物镜损坏。</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5、转换器：转换器三孔同心，定位准确，并带有限位装置。</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6、粗微调:镜架上配有分开调焦的可调节松紧的粗微旋钮，调节载物台，并有内置防滑动离合器，可延长因机械损耗的整机使用寿命。</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7、聚光镜：NA1.25聚光镜，带可变光栏。</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8、照明:50mm直径反光镜，一面平面，一面凹面, 金属反光镜支架。</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9、平台为铝合金铸造，环保喷漆。面积110mm×110mm，载物台上安装X-Y轴移动尺。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10、环保便携手提塑料箱包装。</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178</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电子目镜</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与显微镜配套使用</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1、像素：≥200万。</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2、最大分辨率：≥1920*1080。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3、数据线、光盘、电子目镜。</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4、自动白平衡、自动曝光。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178</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多功能实验讲台</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一、用途和参数</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1.外形尺寸</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工作状态（全部件升起）：≤2400×850×1750mm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待机状态（全部件降下）：≤2400×850×1050mm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 一体化操作台面</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材质选用：优质理化板</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规格参数：长度≥ 2350mm、宽度 ≥700mm、厚度≥12.5mm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有效操作区域（板面面积）：≥16650mm²</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结构特点：采用整体成型工艺，无拼接缝隙设计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3.主体构成：包含分区储物单元、隐藏式键盘托及接线管理区（含置物架）</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储物配置：≥5 个独立分区，总容积≥0.4m³，</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4.储物柜力学性能：满足GB/T 24820-2024《实验室家具通用技术条件》中规定的检验要求，检测结果为符合。</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5.集控进线通道：≥90×40mm，规格接口≥2 组，具备网络线、电源线、控制线等多类型线缆双向接入</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6.接线空间：≥290×90mm，标准模块≥1 组，可容纳 ≥450×550×550mm设备安装，含专用置物架</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7.升降模块：设备应至少具备可升降摄像机、电源、交互演示实验屏，以上设备采用运动零部件可根据使用需要实现独立或组合升降，减少对教师视线的遮挡和设备损坏的可能性，配置≥3 组电动升降摄像机，升降状态可控，收纳后无外露部件</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8.机箱防护：通过电动或随支臂升降实现开合，升降后自动遮盖支臂与升降口空隙，防止杂物液体侵入。遮盖后净空隙≤5mm（不含防尘毛条），四周覆防尘毛条后≤1mm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9.三路高清摄像：正视 / 侧视摄像头≥400 万像素</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10.交互演示实验屏显示规格：≥15.6寸，分辨率≥1920×1080，交互功能：具备≥10 点多点触控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11.内置示教互动主板：采用国产化的主控芯片，配置不低于4核心64位，最高主频不低于2.0GHz</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内存：不低于4GB</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内置存储：≥128GB，eMMC</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集成高性能网络交换芯片，具备千兆带宽</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网络性能：集成千兆网络交换芯片</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12.接口模块：</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电源接口：220V 五孔插座≥2 组</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网络接口：≥2 个</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音视频接口：HDMI≥1 个</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信号传输：具备双向信号切换，可实现教师设备与显示终端间的灵活连接</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配置清单：220V 五孔插座≥1 个、交流插座组 ×1、直流插座组 ×1、USB 接口 ×2</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监测功能：具备电压 / 电流 / 交直流状态实时显</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主控面板：550×260mm（±10mm）阻燃绝缘板，PC 贴膜工艺，配备 32A 漏电保护总开关及新国标 220V 插座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交流输出：0-24V (30V) 连续可调，分辨率 1V，具备数字键盘直选，输出电流 1-3A 可调，具备短路过载保护及数显报警功能</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直流稳压：0-24V (30V) 连续可调，额定电流 2A，调压分辨率 0.1V，具备轻触按键操作及数字直选，具备完善的保护机制</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13.电源保护：总输入端配置独立空气开关</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张</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智慧实验升降桌</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6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一、智能升降实验桌</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1.智能升降学生终端具备实验操作过程多视角视频采集、交互教学、满足理科实验教考智能化需求；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2.智能升降学生终端由实验桌面、机箱、可升降摄像机、可升降教学互动屏、可升降防窥挡板、交互教学主板等主要零部件构成；</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3.尺寸：</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待机状态（所有升降零部件全降）尺寸：≤1250*750*850mm；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工作状态（所有升降零部件全升）尺寸：≤1250*750*1550mm；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二、实验桌面</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1.台面厚度：≥12.7mm，采用耐腐蚀实芯理化板，防静电处理；</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2.尺寸：≥1200*600mm；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三、可升降交互教学屏</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1.屏幕尺寸≥ 15.6 英寸；</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2.屏幕分辨率≥1920×1080（1080P）；</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3.具备多点触摸，不低于10点触摸；</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4.具备电动升降，升起后显示全部屏幕内容，降下后不凸出机箱。</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四、摄像机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数量≥3个，提供正、侧、俯视角画面；</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清晰度≥1440P（400万像素）；帧率≥30FPS；</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视频压缩编码标准可设置为H.264、H.265、MJPEG</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五、可升降模组</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升降定位：通过控制软件、开关或光电传感器控制摄像机、教学互动屏及防窥挡板独立/组合升降（收纳/使用位），降下后完全收纳于机箱（无凸起/线材外露）；</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防护挡板：升降后自动遮盖支臂与升降口空隙，净空隙≤5mm（不含防尘毛条），覆毛条后≤1mm。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摄像机支臂：静音电动升降，降下完全收入机箱，升起自动旋转展开（一次指令到位，无需手动操作）。</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位置要求：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俯视：垂直高度≥650mm，投影点距桌面中心点水平/垂直位置均≤50mm。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电机性能：具备防堵转保护和复位功能，运行噪音≤50dB。</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六、可升降防窥挡板</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1.一体式升降防窥挡板，材质满足≥5mm PMMA或更优材质，具有磨砂半透明效果；</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2.尺寸：≥1100mm*350mm，可升起部分（高于升降模组顶面）不低于总面积的60%；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七、交互教学主板</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主板采用国产CPU，配置不低于4核心64位，最高主频不低于2.0GHz，内存不低于4GB，存储不小于128GB；具备不低于千兆带宽网络交换芯片，整机多个网络摄像机仅需一根网线输出，无需在学生端另配交换机或多网线输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八、学生电源</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1.具备不少于 1 路 220V国标5孔插座；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2.具备可调直流、交流电源，具备显示当前电压、电流数值、交直流状态；</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3.USB 接口数量≥2 个，具备外接鼠标、键盘。</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九、维保便捷</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1.机柜内部提供升降物理按钮，便于故障调试；</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2.具备运输过程中传感器错位固定功能，可在产品运输过程中使定位传感器与定位拨片之间的位置错开，以防止传感器因运输原因产生碰撞损坏。</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张</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48口接入交换机</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1、性能：交换容量≥300Gbps，包转发率≥80Mpps</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2、端口类型：≥48个10/100/1000BASE-T以太网端口，≥4个万兆SFP+。</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3、二层功能：支持MAC地址≥32K，支持ARP表项≥4K；支持4K个VLAN，支持VoiceVLAN，基于端口的VLAN，基于MAC的VLAN，基于协议的VLAN。</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4、安全：支持防止DOS、ARP 攻击功能、ICMP防攻击。</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5、配置本项目需要的单模万兆模块。</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汇聚交换（校级）</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1、交换容量≥1Tbps，包转发率≥150Mpps。</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2、≥24口万兆SFP+。</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3、支持4K VLAN，支持QinQ，灵活QinQ、支持端口VLAN、协议VLAN、IP子网VLAN。</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4、支持静态路由、RIP v1/v2、OSPF、BGP、ISIS、RIPng、OSPFv3、ISISv6、BGP4+</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5、配置双电源</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6、配置本项目需要的单模万兆光模块。</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汇聚交换（县级）</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1、交换容量≥1.5 Tbps，包转发率≥300 Mpps。</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2、24 个万兆SFP+端口。</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3、支持4K个VLAN，支持GuestVLAN、Voice VLAN，支持基于MAC/协议/IP子网/策略/端口的VLAN。</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4、支持静态路由、RIP V1/2、OSPF、IS-IS、BGP、RIPng、OSPFv3、BGP4+、ISISv6</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5、配置双电源模块</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6、配置本项目需要的单模千兆和万兆光模块。</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校级数据中心</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一、应用支持边缘设备</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1.CPU：配置自主可控≥2*CPU，单颗CPU核心数量≥32核心，主频≥2.6GHz；</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2.内存：配置≥32G，最大容量为2048GB；</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3.硬盘：配置≥2块 480GSATA-SSD 硬盘，≥4块4T的SATA硬盘；</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4.Raid卡：配置≥1块独立raid卡，支持RAID 0,1,5,6,10,50等；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5.网卡：配置≥2*GE，≥1*10G光纤模块；</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6.电源：电源不小于900W</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二、算力支持边缘设备</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1.CPU：配置自主可控≥2*CPU，单颗CPU核心数量≥32核心，主频≥2.6GHz；</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2.内存：配置≥256G，最大容量支持4TB</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3.硬盘：配置≥2块 480GSATA-SSD 硬盘，≥4块4T的SATA硬盘；</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4.Raid卡：配置≥1块独立raid卡，支持RAID 0,1,5,6,10,50等；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5.网卡：配置≥4*GE，≥1*10G光纤模块；</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6.GPU：配置≥6块国产GPU卡，支持≥24GB显存容量；单卡整机精度≥100 TOPS,半精度≥50 TFLOPS；</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7.电源：电源不小于2000W</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县级数据中心</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一、应用支持边缘设备</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1.CPU：配置自主可控≥2*CPU，单颗CPU核心数量≥32核心，主频≥2.6GHz；</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2.内存：配置≥64G，最大容量为2048GB；</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3.硬盘：配置≥2块 480GSATA-SSD 硬盘，≥4块4T的SATA硬盘；</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4.Raid卡：配置≥1块独立raid卡，支持RAID 0,1,5,6,10,50等；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5.网卡：配置≥2*GE，≥1*10G光纤模块；；</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6.电源：电源不小于900W</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二、算力支持边缘设备</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1.CPU：配置自主可控≥2*CPU，单颗CPU核心数量≥32核心，主频≥2.6GHz；</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2.内存：配置≥256G，最大容量支持4TB</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3.硬盘：配置≥2块 480GSATA-SSD 硬盘，≥4块4T的SATA硬盘；</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4.Raid卡：配置≥1块独立raid卡，支持RAID 0,1,5,6,10,50等；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5.网卡：配置≥4*GE，≥1*10G光纤模块；</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6.GPU：配置≥4块国产GPU卡，支持≥24GB显存容量；单卡整机精度≥100 TOPS,半精度≥50 TFLOPS；</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7.电源：电源不小于900W</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实验教学课堂管理软件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numPr>
                <w:ilvl w:val="0"/>
                <w:numId w:val="9"/>
              </w:num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交互与管理功能：</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1、支持教师课前备课、课堂互动、多屏互动、互评。</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2、学习资源：（1）支持学生从实验资源中查看实验内容、器材清单、评分标准等信息；（2）支持学生查看老师在教学过程中下发的教学课件等。（3）支持学生查看老师在教学过程中下发的教学视频等。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3、支持学生自评，众评其他学生的实验操作视频。</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4、支持学生分步骤进行实验练习，系统支持通过AI对学生的实验操作进行实时评价，强化学生对实验的理解；支持学生模拟真实实验考试场景。</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5.系统模式切换：需满足老师切换上课模式和考试模式。</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 具备实验课堂总结功能：支持对学生实验练习和老师评分结果进行统计；支持统计各学生实验练习的成绩和耗时分布；支持统计全班学生实验练习的平均成绩、平均耗时；支持统计全班学生实验练习的正确率和错误率；支持统计全班学生实验练习的得分分布情况；提供带CMA标识的第三方检测机构出具的检测报告复印件并加盖投标单位公章。</w:t>
            </w:r>
            <w:r>
              <w:rPr>
                <w:rFonts w:hint="eastAsia" w:ascii="微软雅黑" w:hAnsi="微软雅黑" w:eastAsia="微软雅黑" w:cs="微软雅黑"/>
                <w:b/>
                <w:bCs/>
                <w:sz w:val="20"/>
                <w:szCs w:val="20"/>
                <w:lang w:bidi="ar"/>
              </w:rPr>
              <w:t xml:space="preserve">（投标文件中提供相关证明材料并加盖投标人公章，相关证明材料包括但不限于响应该条技术参数及功能指标、提供符合该条技术参数及功能指标的证明材料等。中标通知书发出之日起15日内须提供具有CMA标识的检测报告，不提供视为无故放弃中标资格，如给采购人造成了损失，采购人将依法追究相关责任）。</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实验考试学生端软件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numPr>
                <w:ilvl w:val="0"/>
                <w:numId w:val="10"/>
              </w:numPr>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终端预览：支持校级管理员在考前对每台设备的摄像头、电子目镜进行远程拍照检查，确保每台设备的摄像头没有问题；支持触屏操作，考生需核对考生信息无误，才可开始考试，考生信息核对：考生核对考生姓名、准考证号等信息无误后才可进入下一步。考试过程中显示剩余时间、试卷、答题卡、摄像头状态、网络状态等信息，考试时间到了系统自动结束考试。</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2、注意事项：考生在进入考试前，可通过终端屏幕查看本场考试的注意事项。</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3、器材清单：考生在进入考试前，可对桌面上的器材进行检查，确认没有缺损时可进入下一步。</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4、题型：支持填空、画图、生物抓拍题。</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 终端软件应支持考试中同屏显示考试科目、完整考题、完整电子答题卡以及倒计时、结束考试按钮等内容，并支持考生无需翻页或跳转即可查看所列全部内容。提供带CMA标识的第三方检测机构出具的检测报告复印件并加盖投标单位公章。</w:t>
            </w:r>
            <w:r>
              <w:rPr>
                <w:rFonts w:hint="eastAsia" w:ascii="微软雅黑" w:hAnsi="微软雅黑" w:eastAsia="微软雅黑" w:cs="微软雅黑"/>
                <w:b/>
                <w:bCs/>
                <w:sz w:val="20"/>
                <w:szCs w:val="20"/>
                <w:lang w:bidi="ar"/>
              </w:rPr>
              <w:t xml:space="preserve">（投标文件中提供相关证明材料并加盖投标人公章，相关证明材料包括但不限于响应该条技术参数及功能指标、提供符合该条技术参数及功能指标的证明材料等。中标通知书发出之日起15日内须提供具有CMA标识的检测报告，不提供视为无故放弃中标资格，如给采购人造成了损失，采购人将依法追究相关责任）。</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6、支持对接显微镜，实时预览显微镜的画面，并截图保存。</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7、二次确认：考生提交答卷时，为防止考生误操作误提交，系统进行二次确认，确认无误后可提交答卷。</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 终端软件应支持生成实验视频和答题卡数据。实验视频和答题卡数据生成后，支持存储至本地终端，并上传到管理平台。支持在终端查看视频文件的MD5码，并支持与管理平台的MD5码对照并校验MD5值是否一致，用以校验终端和管理平台视频文件的一致性。提供带CMA标识的第三方检测机构出具的检测报告复印件并加盖投标单位公章。</w:t>
            </w:r>
            <w:r>
              <w:rPr>
                <w:rFonts w:hint="eastAsia" w:ascii="微软雅黑" w:hAnsi="微软雅黑" w:eastAsia="微软雅黑" w:cs="微软雅黑"/>
                <w:b/>
                <w:bCs/>
                <w:sz w:val="20"/>
                <w:szCs w:val="20"/>
                <w:lang w:bidi="ar"/>
              </w:rPr>
              <w:t xml:space="preserve">（投标文件中提供相关证明材料并加盖投标人公章，相关证明材料包括但不限于响应该条技术参数及功能指标、提供符合该条技术参数及功能指标的证明材料等。中标通知书发出之日起15日内须提供具有CMA标识的检测报告，不提供视为无故放弃中标资格，如给采购人造成了损失，采购人将依法追究相关责任）。</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 终端软件应支持通过管理平台远程控制学生终端重启；在网络通畅条件下，发出重启后，终端软件应支持终端在1秒内响应，并重置终端状态。提供带CMA标识的第三方检测机构出具的检测报告复印件并加盖投标单位公章。</w:t>
            </w:r>
            <w:r>
              <w:rPr>
                <w:rFonts w:hint="eastAsia" w:ascii="微软雅黑" w:hAnsi="微软雅黑" w:eastAsia="微软雅黑" w:cs="微软雅黑"/>
                <w:b/>
                <w:bCs/>
                <w:sz w:val="20"/>
                <w:szCs w:val="20"/>
                <w:lang w:bidi="ar"/>
              </w:rPr>
              <w:t xml:space="preserve">（投标文件中提供相关证明材料并加盖投标人公章，相关证明材料包括但不限于响应该条技术参数及功能指标、提供符合该条技术参数及功能指标的证明材料等。中标通知书发出之日起15日内须提供具有CMA标识的检测报告，不提供视为无故放弃中标资格，如给采购人造成了损失，采购人将依法追究相关责任）。</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499</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实验操作考场管理软件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numPr>
                <w:ilvl w:val="0"/>
                <w:numId w:val="11"/>
              </w:numPr>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设备管理系统：查看学生端当前版本并上传软件更新包，实现远程自动更新；支持设备巡检，巡检项包括所有摄像头、电子目镜等，通过自检显示每台设备的状态，异常设备的具体异常问题，帮助用户快速定位异常问题；支持在使用过程中设备异常情况实时反馈。</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抽签管理系统：支持线上一键抽签，系统对该场次的考生进行随机抽签，并立即显示抽签结果，抽签结果包含姓名、考生编号、座位号等信息；每个场次只允许抽签一次，对已抽签的场次，支持查看抽签结果。</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3、考试管理系统：支持考场老师上报异常，包括缺考、设备异常等；支持考点老师处理异常，处理方式包括安排补考、更换设备等；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4、视频监考：支持查看考点下每个考场的终端录制的实时画面；支持单独切换视角；。</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5、支持终端设备自检并实时监控各考位的设备状态和考生状态，支持同屏呈现该考场所有考位状态，不同状态用不同颜色标识；</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 支持查看该考务的座位表信息，座位表包含开始时间、结束时间、考场教室、学科、座位号、座位试卷等信息；支持导出座位表到电子表格，表格包含考点名称、开始时间、结束时间、考场教室、学科、座位号、座位试卷等信息，辅助实验员老师准备相应实验器材；提供带CMA标识的第三方检测机构出具的检测报告复印件并加盖投标单位公章。</w:t>
            </w:r>
            <w:r>
              <w:rPr>
                <w:rFonts w:hint="eastAsia" w:ascii="微软雅黑" w:hAnsi="微软雅黑" w:eastAsia="微软雅黑" w:cs="微软雅黑"/>
                <w:b/>
                <w:bCs/>
                <w:sz w:val="20"/>
                <w:szCs w:val="20"/>
                <w:lang w:bidi="ar"/>
              </w:rPr>
              <w:t xml:space="preserve">（投标文件中提供相关证明材料并加盖投标人公章，相关证明材料包括但不限于响应该条技术参数及功能指标、提供符合该条技术参数及功能指标的证明材料等。中标通知书发出之日起15日内须提供具有CMA标识的检测报告，不提供视为无故放弃中标资格，如给采购人造成了损失，采购人将依法追究相关责任）。</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 具备监考现场换机功能，支持在监考界面对指定考位更换备机；当前考位在换机后，系统软件应支持在备机上换机后恢复正常考试状态。从监考老师操作换机开始到提交备机信息的整个操作过程应不大于5秒。提供带CMA标识的第三方检测机构出具的检测报告复印件并加盖投标单位公章。</w:t>
            </w:r>
            <w:r>
              <w:rPr>
                <w:rFonts w:hint="eastAsia" w:ascii="微软雅黑" w:hAnsi="微软雅黑" w:eastAsia="微软雅黑" w:cs="微软雅黑"/>
                <w:b/>
                <w:bCs/>
                <w:sz w:val="20"/>
                <w:szCs w:val="20"/>
                <w:lang w:bidi="ar"/>
              </w:rPr>
              <w:t xml:space="preserve">（投标文件中提供相关证明材料并加盖投标人公章，相关证明材料包括但不限于响应该条技术参数及功能指标、提供符合该条技术参数及功能指标的证明材料等。中标通知书发出之日起15日内须提供具有CMA标识的检测报告，不提供视为无故放弃中标资格，如给采购人造成了损失，采购人将依法追究相关责任）。</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AI智能赋分系统</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1、支持在AI试卷的试卷考评点信息中查询该试卷每一个考评点对应的评判规则，包括但不限于规则类型、规则名称、具体描述、关联动作操作、关联答题卡题目等。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2、支持管理员在考务管理中对AI试卷开启AI阅卷，不开启则为纯人工阅卷。</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3、支持后台自启动，在收到终端录制的实验视频后，自动运行AI评分算法模型进行推理，不用等到考务结束再开始。</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4、具备AI错因解析功能，可根据实验试卷的评分标准，通过对实验视频和答题卡的分析，对扣分的考评点给出扣分理由。</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具备AI评分呈现功能，支持查看实验考试AI评分结果，可以同步显示2路视频回放和答题卡图片，视频支持倍速播放、单路全屏，答题卡支持放大和还原，支持展示各评分点的考查要点、评分细则、AI检测实验情况、AI评分成绩及总分，扣分点有显著红色标识。</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6、具备AI评分人工复核功能，可以同时显示AI评分成绩和复核成绩，支持对AI评分结果进行复核修正，总分实时更新，并支持下一份、标记试卷、一键满分、提交成绩等快捷操作。</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7、支持查看AI评卷进度和人工复核进度，并显示具体已阅和总共的试卷数量。</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8、支持在后台配置相应的AI算力资源，一个学校支持配置1台或多台AI算力服务器。</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9、支持根据AI评分任务自动分配AI算力资源，并对AI评分任务进行有效调度。</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10、支持实时监控AI算力资源的运行状态、占用状态和负载状态等。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考点管理软件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需满足管理员在系统查看实验室管理、学生管理、教师管理、视频监考、异常管理等功能的需求，具体需求信息如下：</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1、实验室管理</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（1）新增实验室：需满足管理员在新增实验室时输入实验室名称、设置所属学科、座位布局需求；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（2）编辑设备信息：需满足管理员编辑设备座位号、设备终端版本号、系统名称的需求；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（3）考试配置：需满足管理员为实验室关联考场；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（4）删除实验室：需满足管理员删除实验室的需求；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（5）设备自检：需满足管理员对实验室设备的状态、网络、摄像头等进行远程巡检，查看当前实验室的异常设备数量以及异常详情的需求；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（6）设备操控：需满足管理员操控实验室设备完成清空存储、带宽侧视、一键关机、一键拍照、批量闪烁状态灯的需求；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（7）关联设备：可根据每台设备唯一的序列号，为每个座位，绑定和切换绑定设备；</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2、学生管理</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（1）新增学生信息：需满足管理员通过输入学生姓名、学号、年级、班级、证件号、入学年份、性别、照片等新增学生信息的需求；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（2）编辑学生信息：需满足管理员编辑学生姓名、年级、班级、证件号、入学年份、性别、照片等；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（3）查询学生信息：需满足管理员通过学生姓名、学号查询学生信息的需求；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（4）批量导入学生：需满足管理员批量导入学生信息的需求；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（5）删除学生信息：需满足管理员删除学生信息的需求；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（6）学年更新：需满足管理员进行学年更新的需求，无需逐一修改学生信息；</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3、考试管理</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（1）查看考试信息：需满足管理员查看考试的基本信息、考试流程、考试试卷的需求；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（2）导出考试信息：需满足管理员导出编排数据的需求；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（3）打印准考证：需满足管理员打印考生准考证的需求；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（4）打印座位表：需满足管理员打印考生座位表的需求；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4、视频监考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（1）查看终端设备监控：需满足管理员查看终端设备监控画面，需满足切换监控视角的需求；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（2）查看异常报警信息：需满足管理员查看异常设备的报警信息，包括设备位置、异常描述等，需满足更新异常信息的处理状态的需求；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5、异常管理</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（1）查看异常信息：需满足管理员查看考场上报的异常信息的需求；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（2）处理异常信息：需满足管理员处理异常信息，处理方式包括参加补考、更换设备、不做安排的需求；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具备远程配置功能：支持远程批量控制学生终端设备重启，1秒内完成28台终端重启指令的下发，所有终端在1秒内响应，以便快捷重置终端状态；提供带CMA标识的第三方检测机构出具的检测报告复印件并加盖投标单位公章。</w:t>
            </w:r>
            <w:r>
              <w:rPr>
                <w:rFonts w:hint="eastAsia" w:ascii="微软雅黑" w:hAnsi="微软雅黑" w:eastAsia="微软雅黑" w:cs="微软雅黑"/>
                <w:b/>
                <w:bCs/>
                <w:sz w:val="20"/>
                <w:szCs w:val="20"/>
                <w:lang w:bidi="ar"/>
              </w:rPr>
              <w:t xml:space="preserve">（投标文件中提供相关证明材料并加盖投标人公章，相关证明材料包括但不限于响应该条技术参数及功能指标、提供符合该条技术参数及功能指标的证明材料等。中标通知书发出之日起15日内须提供具有CMA标识的检测报告，不提供视为无故放弃中标资格，如给采购人造成了损失，采购人将依法追究相关责任）。</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视频与流媒体管理平台软件（学校）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numPr>
                <w:ilvl w:val="0"/>
                <w:numId w:val="12"/>
              </w:numPr>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支持通过视频校验、多级存储、快捷更换设备等功能及时处理考试技术性异常，减少阅卷后大规模重考事故。</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2、及时发现不可批阅视频，及时发现考位视频采集错误状态。</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3、支持试卷数据匿名显示，支持人脸模糊处理，真正实现考生匿名化，确保阅卷的公平。、</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实验教学管理平台</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1、支持管理员管理本校的学生、老师、和教室等，完成新增、编辑、删除等操作。</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2、支持管理员批量导入学生信息，对学生信息进行编辑等操作。</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3、支持管理员批量导入教师信息，对教师信息进行编辑等操作。</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4、支持管理员管理老师的任教学科、任教班级。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5、支持管理员创建并管理学校的实验室，配置实验室的相关设备等。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6、支持管理员看到设备的信息和连接状态。</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考场考试技术服务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数据中心与考点设备远程技术保障</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1、实时服务器运行状态。</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2、服务器资源与网络设备运行状态管理。</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3、故障实时定位与处理。</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4、服务器健康状况智能检测与分析。</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5、服务器与应用远程维护。</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数据管理中心软件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1、考试分析：可查看历史每次考试任务的统计分析数据，包括应考数量、实考数量、收卷数量、单科平均成绩、总分平均成绩；能够查看每个学校的以上统计分析数据。</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2、考情指挥：展示本次考试的基础数据，统计各考点上报的各种类型的异常统计，包括考点学校、考试科目、考场、异常场次、视频异常检出数量、已安排补考数量、未处理数量、人工确认可阅卷数量等。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教学督导：支持从县一级看各校实验开展情况，支持通过图形化工具查看数据，支持通过学校、年度、学科、年级、班级、老师、学期等不同维度筛选查看实验课开展情况；包括各学科总上课节数、各学科实验总练习时长、各学科实验练习平均成绩、各年级实验上课总节数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4、大数据平台：实现数据采集、数据存储、计算查询等功能。</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实验统考管理平台软件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numPr>
                <w:ilvl w:val="0"/>
                <w:numId w:val="13"/>
              </w:numPr>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基础信息管理：角色管理、区域管理、学校管理、实验室设备管理、用户账号管理。</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2、考务管理系统：上级考务创建、考务基础信息配置、考试学科配置、考生配置、。</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3、试题管理系统：对理化生实验操作考试考题信息统一管理，考题信息包括考题名称、学科、学段、录制时长、考查要点、考评点内容、分值、答题卡、器材清单、总分、评分细则等。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4、阅卷管理系统：阅卷任务，考试统计，任务管理。</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(1)阅卷任务：可查看当前分配的阅卷任务，对试卷进行评阅；</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(2)考试统计：支持按年度、考务等维度统计考试数据；</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（3）阅卷任务：支持设置批阅规则，可选额单轮、两轮、三轮等不同的阅卷方式；支持隐藏学生信息；支持新建或选择批阅着；支持查看所有试卷；支持随机分配试卷给不同老师并启动阅卷。</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具备在线批阅或评分功能，支持查看分配给自己的阅卷任务清单，按考务、学科和试卷排列；试卷列表应包含试卷ID、阅卷状态、标记状态、得分等信息，不展示考生身份及考试发生的时间地点相关信息；支持俯视和侧视两路视频同屏同步播放，两路视频图像播放全程保持相互时延应小于100毫秒；支持根据批阅规则和评分结果，自动决策是否进入下一轮阅卷环节或者完成阅卷。提供带CMA标识的第三方检测机构出具的检测报告复印件并加盖投标单位公章。</w:t>
            </w:r>
            <w:r>
              <w:rPr>
                <w:rFonts w:hint="eastAsia" w:ascii="微软雅黑" w:hAnsi="微软雅黑" w:eastAsia="微软雅黑" w:cs="微软雅黑"/>
                <w:b/>
                <w:bCs/>
                <w:sz w:val="20"/>
                <w:szCs w:val="20"/>
                <w:lang w:bidi="ar"/>
              </w:rPr>
              <w:t xml:space="preserve">（投标文件中提供相关证明材料并加盖投标人公章，相关证明材料包括但不限于响应该条技术参数及功能指标、提供符合该条技术参数及功能指标的证明材料等。中标通知书发出之日起15日内须提供具有CMA标识的检测报告，不提供视为无故放弃中标资格，如给采购人造成了损失，采购人将依法追究相关责任）。</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 具备三轮阅卷功能：支持采用一份答卷分配2名阅卷老师、2</w:t>
            </w:r>
            <w:r>
              <w:rPr>
                <w:rFonts w:hint="eastAsia" w:ascii="微软雅黑" w:hAnsi="微软雅黑" w:eastAsia="微软雅黑" w:cs="微软雅黑"/>
                <w:color w:val="000000"/>
                <w:sz w:val="20"/>
                <w:szCs w:val="20"/>
                <w:lang w:bidi="ar"/>
              </w:rPr>
              <w:t xml:space="preserve">名仲裁老师和仲裁组长。阅卷老师相互之间不知道对方的评分结果，首先2名阅卷老师分别给出评分，如果两个评分偏差不大于设定的阈值，则系统软件应支持取两个评分的平均值作为最终得分，并结束此答卷阅卷；如果两个评分偏差大于设定的值，系统应支持将此答卷派发给另外2名仲裁老师重新评阅（第二轮），如果第二轮评分偏差在设定阀值内，则系统软件应以第二轮评分均值作为最终得分；如果两轮阅卷均不符合要求时，系统软件应支持提交该答卷给仲裁组长，由仲裁员决定最终得分；提供带CMA标识的第三方检测机构出具的检测报告复印件并加盖投标单位公章。</w:t>
            </w:r>
            <w:r>
              <w:rPr>
                <w:rFonts w:hint="eastAsia" w:ascii="微软雅黑" w:hAnsi="微软雅黑" w:eastAsia="微软雅黑" w:cs="微软雅黑"/>
                <w:b/>
                <w:bCs/>
                <w:sz w:val="20"/>
                <w:szCs w:val="20"/>
                <w:lang w:bidi="ar"/>
              </w:rPr>
              <w:t xml:space="preserve">（投标文件中提供相关证明材料并加盖投标人公章，相关证明材料包括但不限于响应该条技术参数及功能指标、提供符合该条技术参数及功能指标的证明材料等。中标通知书发出之日起15日内须提供具有CMA标识的检测报告，不提供视为无故放弃中标资格，如给采购人造成了损失，采购人将依法追究相关责任）。</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抽签软件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1、支持通过抽签决定座位。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2、支持抽签方式：系统在线一键抽签。</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3、具备抽签场次列表管理功能，支持展示指定考务各个场次的列表，列表信息包含学科、考场教室、场次号、场次日期、开始时间、结束时间等。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4、支持预览、打印抽签结果。</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5、支持根据学科、考场、考试状态进行搜索抽签场次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6、具备线上考试抽签功能，支持线上一键抽签，系统对该场次的考生进行随机抽签，并立即显示抽签结果，抽签结果包含姓名、考生编号、座位号等信息；</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7、每个场次只允许抽签一次，对已抽签的场次，支持查看抽签结果。</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8、支持查看该考务的场次信息，场次信息包含考试学科、考试教室、场次日期、场次号、开始时间、结束时间、考生姓名、身份证号、座位号等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9、支持导出场次信息到电子表格，表格包含学科、考场教室、场次号、开始时间、结束时间、考生姓名、身份证号、座位号、班级、试卷等信息。</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1711"/>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视频与流媒体管理平台软件（县级）</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numPr>
                <w:ilvl w:val="0"/>
                <w:numId w:val="14"/>
              </w:num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可进行视频回放、视频快进等功能。</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2、支持播放H264格式视频。</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3、支持校级平台自动上传实验操作考试视频到县级系统平台，支持断点续传。</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4、提供开发能力，视频录像查询与下载。</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实验教学资源库</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numPr>
                <w:ilvl w:val="0"/>
                <w:numId w:val="15"/>
              </w:numPr>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教学实验题库：需满足管理员查看系统内置的教学实验题库，支持添加或导入实验题；</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2、教学方案：</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(1)新建教学方案：需满足老师选择创建教学实验，上传课件图片、演示视频、添加课堂小测题目、添加实践练习等需求。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(2)文件下发：需满足老师可以将图片、视频下发给学生的需求；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(3)小测题目创建：需满足老师创建多个课堂小测题目的需求；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(5)教学方案导出：需满足老师可以导出教学方案的需求。</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实验操作考试专网建设</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每间实验室至学校管理中心的链路必须采用两根12芯单模光缆铺设（其中1根光纤备用），互联带宽≥10G，含：穿线管、两端熔纤单元箱、尾纤及必要的光模块等所有辅材及穿线、打孔、修复、熔纤等所有人工费用。</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2、学校管理中心必须通过专线接入县级管理中心，互联带宽≥10G，网络延时≤1ms,分配独立的IP地址空间。验收合格后十年内专线带宽费用由中标单位承担。</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3、县级机房设备必须通过专线接入现有教育城域网，互联带宽≥1G，后期并能与市级相关考试平台实现数据对接，验收合格后十年内专线带宽费用由中标单位承担。</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项</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设备集成及考试保障服务等</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1、初中理化生实验操作标准化考场建设的所有设备信息化考试系统集成。</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2、质保期内的考试期间网络及日常网络保障服务、满足教育行政部门考试（含模拟考试）实施技术保障要求的技术服务。</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项</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智能视频存储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1、支持≥64路摄像机存储和转发，最大存储带宽≥320Mbps；</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2、支持≥32路视频流下载，能力≥160Mbps；</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3、支持≥2路HDMI接口（支持HDMI转VGA）；支持≥3个USB接口；支持1路音频输入输出接口；4路开关量输入及2路开关量输出；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4、支持≥2个千兆网口；</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5、支持磁盘数量：≥8个；</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6、网络协议：TCP （可靠传输）等；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7、外部接口</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(1)网络接口：≥2*10/100/1000M以太网口，支持负载均衡模式及多址模式配置；</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(2)USB接口：≥3*USB接口；</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(3)音频输入：≥1路；</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(4)音频输出：≥1路；</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硬盘</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1、3.5 HDD, ≥8TB,7200RPM, 256MB, SATA 6Gb/s。</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2、MTBF(平均故障间隔时间)：不小于150万小时。</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3、年写入负载：≥360TB。</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144</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桌垫</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1、产品硬度：60°±5；</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2、产品密度：0~1.4；</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3、产品特性：防静电，保护垫；</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4、产品用途：电子维修/工厂桌垫/流水线条垫。</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5、桌垫图案按照考试要求设计并印制。</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499</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移动教考管理终端</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1、CPU：主频: ≥2.1GHz；核心数量:≥12；。</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2、内存：≥32GB DDR5内存。</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3、显卡：≥4G独立显卡。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4、硬盘：≥1TB固态硬盘。</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6、网卡：集成10/100/1000以太网卡，wifi。</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8、接口：≥4个接口（含USB、HDMI）。</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9、屏幕：15.6寸</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固定教考管理终端</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1、CPU：主频≥2.1 GHz；核心数量≥12；。</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2、内存：不低于32GB DDR5 4800 nECC内存，通道≥4个DIMM插槽。</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3、显卡：4G独立显卡。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4、声卡：集成声卡。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5、硬盘：固态硬盘+2TB SATA。</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6、网卡：集成10/100/1000以太网卡。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7、键盘，鼠标：USB防水抗菌键盘、抗菌鼠标各1套。</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8、接口：≥6个接口（含USB、HDMI）。</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9、屏幕：≥27寸。</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10、≥300W电源。</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固态数据存储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1、容量：≥4T。</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2、读取速度:≥1050MB/s。</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3、写入速度:≥1000MB/s。</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4、无需任何设置，连接电脑随插随用，快速传输存储重要数据并可同时兼容PC系统。</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服务器机柜（含PDU插座）</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42U标准服务器机柜，冷轧板，钢化玻璃门，配备高级弹力锁。</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高拍仪</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1、拍摄范围：A3、A4。</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2、拍摄像素：≥1000万像素。</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3、对焦方式：自动对焦。</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4、祯率：30Fps、15Fps。</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5、图片格式：JPG、TIF、PNG等。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6、录像格式：AVI等。</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7、感光元件：大面积1/2.3高清CMOS传感器。</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8、接口类型：USB2.0。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标签机</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1、整体采用ABS材质。</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2、打印分辨率：≥200dpi。</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3、包含标签纸≥10卷。</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管理中心强弱电线材及安装</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1、由楼层配电间至管理中心使用国标3×10平方铜芯线;</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2、室内配电盘至空调、交换机机柜、使用国标 3×6 平方铜芯线;</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3、辅材:含配电盘、漏保、空开、线槽、线管、六类网线、六类水晶头等所有辅材及开槽、穿线、补墙等人工费用;</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4、所有线类必须两头打标。</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玻璃隔断</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不锈钢框架，8mm 以上钢化玻璃隔断(含门、门把手、密码锁具等所有辅材及人工费用)，每间约 16 平方米。</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实验室文化布置</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文化内容参照:从实验课程介绍、实验过程描述、实验成果展示、实验室管理制度等方面，定制墙面装饰;材质:可选用软木板、亚克力材料等。实验室制度展板及具体内容和式样设计效果经由使用方确认后施工，总面积不少于 20 平方米。</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2、室内文化布置后产生的玷污墙面采用环保型乳胶漆找补出新。</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管理中心文化布置</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1、文化内容参照:网络拓扑图、网络中心管理制度等方面，材质:可选用软木板、亚克力材料等。实验室制度展板及具体内容和式样设计效果经由使用方确认后施工，总面积不少于10平方米。</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2、室内文化布置后产生的玷污墙面采用环保型乳胶漆找补出新。</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教育局管理中心其他</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地胶铺设，面积：50平方米左右。</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一、水磨石地面清理，后铺设地胶。</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二、产品规格：总厚度≥4.5mm,耐磨层厚度≥1.2mm,幅宽1.8m;材料为原生料制品，产品结构从上至下依次PVC耐磨层、稳定层、网格布夹带层、发泡层；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满足地胶技术性能指标要求不低于：</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1、邵氏硬度（邵A）50-90。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2、拉伸强度≥2MPa。</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3、拉断伸长率≥100%。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4、球反弹≥90%。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5、阻燃性Ⅰ级。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6、氯乙烯单体，可溶性铅，可溶性镉未检出。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7、挥发物≤50g/m2。</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8、燃烧性能达到难燃B1级。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9、快速变温试验：大于20个循环后，尺寸变化率（横向、纵向）≤0.01%，且样品表面无破损、变形等现象。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10、冷热冲击试验：大于20个循环后，拉伸强度变化率≤1%，尺寸变化率（横向、纵向）≤0.01%，且表面不破损、变形、脆裂等现象。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11、符合不少于55种邻苯二甲酸酯有害物质未检出。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12、耐化学（清洗剂、矿物油）≥5000h后，外观无明显变化，灰卡4-5级。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13、耐酸碱（40%氢氧化钠溶液、40%硫酸溶液）≥5000h后，外观无明显变化，灰卡4-5级。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三、遮光窗帘,面积：40平方米左右。</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四、更换门锁2把。</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五、原有监控线路调整，并加装两个配套摄像头。</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7061" w:type="dxa"/>
            <w:vAlign w:val="bottom"/>
            <w:textDirection w:val="lrTb"/>
            <w:noWrap w:val="false"/>
          </w:tcPr>
          <w:p>
            <w:pPr>
              <w:jc w:val="center"/>
              <w:spacing w:line="300" w:lineRule="exac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响水县珠江路</w:t>
            </w:r>
            <w:r>
              <w:rPr>
                <w:rFonts w:hint="eastAsia" w:ascii="微软雅黑" w:hAnsi="微软雅黑" w:eastAsia="微软雅黑" w:cs="微软雅黑"/>
                <w:b/>
                <w:bCs/>
                <w:color w:val="000000"/>
                <w:sz w:val="20"/>
                <w:szCs w:val="20"/>
                <w:lang w:eastAsia="zh-CN" w:bidi="ar"/>
              </w:rPr>
              <w:t xml:space="preserve">实验学校</w:t>
            </w:r>
            <w:r>
              <w:rPr>
                <w:rFonts w:hint="eastAsia" w:ascii="微软雅黑" w:hAnsi="微软雅黑" w:eastAsia="微软雅黑" w:cs="微软雅黑"/>
                <w:b/>
                <w:bCs/>
                <w:color w:val="000000"/>
                <w:sz w:val="20"/>
                <w:szCs w:val="20"/>
                <w:lang w:bidi="ar"/>
              </w:rPr>
              <w:t xml:space="preserve">实验室布线改造及实验器材等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rPr>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7061" w:type="dxa"/>
            <w:vAlign w:val="bottom"/>
            <w:textDirection w:val="lrTb"/>
            <w:noWrap w:val="false"/>
          </w:tcPr>
          <w:p>
            <w:pPr>
              <w:jc w:val="center"/>
              <w:spacing w:line="300" w:lineRule="exac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L102化学实验室（水电上吊装）</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1、从教室电源控制箱引国标BV（4mm²*4+2.5mm²*1）电线至讲台下，出地面1.2米；从配电箱布线国标BV（2.5mm²*4）至顶部吊顶内，用作吊装设备及照明电源线，辅材自备。预留交换机插座（五孔）                                                                              2、从讲台处敷设电线国标BV（2.5mm²*3）至每个学生位，分4路控制，讲台处出地面2米，学生处出地面1.2米；28个点位。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3、瓷砖地面开槽，布PVC管穿电线，PVC管出地面150mm，管线布完后水泥砂浆填实，并用不小于1.5mm厚的不锈钢U字型槽板覆盖，槽板和地面齐平。开槽尺寸约为：宽30mm*深25mm。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4、学生处加装五孔插座1只，用于考试系统取电；插座需固定在功能柱上。</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5、电源控制箱内更换一只带漏保的40A空开。</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6、电源改造按学校要求及国家规范施工，确保美观规范。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2、从讲台处敷设网线至学生位，六类网线，六类水晶头，两头打标，讲台处出地面2米，学生处出地面1.5米，28个点位。                                                                         </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地胶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一、水磨石地面清理，后铺设地胶。</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二、产品规格：总厚度≥4.5mm,耐磨层厚度≥1.2mm,幅宽1.8m;材料为原生料制品，产品结构从上至下依次PVC耐磨层、稳定层、网格布夹带层、发泡层；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满足地胶技术性能指标要求不低于：</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1、邵氏硬度（邵A）50-90。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2、拉伸强度≥2MPa。</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3、拉断伸长率≥100%。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4、球反弹≥90%。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5、阻燃性Ⅰ级。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6、氯乙烯单体，可溶性铅，可溶性镉未检出。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7、挥发物≤50g/m2。</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8、燃烧性能达到难燃B1级。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9、快速变温试验：大于20个循环后，尺寸变化率（横向、纵向）≤0.01%，且样品表面无破损、变形等现象。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10、冷热冲击试验：大于20个循环后，拉伸强度变化率≤1%，尺寸变化率（横向、纵向）≤0.01%，且表面不破损、变形、脆裂等现象。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11、符合不少于55种邻苯二甲酸酯有害物质未检出。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12、耐化学（清洗剂、矿物油）≥5000h后，外观无明显变化，灰卡4-5级。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13.耐酸碱（40%氢氧化钠溶液、40%硫酸溶液）≥5000h后，外观无明显变化，灰卡4-5级。</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1、整体采用实验室专用PP材质，四周圆弧处理，前后二块拼接而成，可拆装，内部隐藏实验线管及通风管道，方便检修。</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单眼</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洗眼喷头：采用不助燃PC材质模铸一体成形制作，具有过滤泡棉及防尘功能，上面防尘盖平常可防尘，使用时可随时被水冲开，并降低突然打开时短暂的高水压，避免冲伤眼睛。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付</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教师演示台实芯理化板台面开直径50mm孔1个,学生桌开直径15mm孔5个。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教师演示台、学生实验台简单拆装、搬运等。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7061" w:type="dxa"/>
            <w:vAlign w:val="bottom"/>
            <w:textDirection w:val="lrTb"/>
            <w:noWrap w:val="false"/>
          </w:tcPr>
          <w:p>
            <w:pPr>
              <w:jc w:val="center"/>
              <w:spacing w:line="300" w:lineRule="exac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L104物理实验室（上吊装电学）</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1、从教室电源控制箱引国标BV（4mm²*4+2.5mm²*1）电线至讲台下，出地面1.2米；从配电箱布线国标BV（2.5mm²*4）至顶部吊顶内，用作吊装设备及照明电源线，辅材自备。预留交换机插座（五孔）                                                                              2、从讲台处敷设电线国标BV（2.5mm²*3）至每个学生位，分4路控制，讲台处出地面2米，学生处出地面1.2米；28个点位。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3、瓷砖地面开槽，布PVC管穿电线，PVC管出地面150mm，管线布完后水泥砂浆填实，并用不小于1.5mm厚的不锈钢U字型槽板覆盖，槽板和地面齐平。开槽尺寸约为：宽30mm*深25mm。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4、学生处加装五孔插座1只，用于考试系统取电；插座需固定在功能柱上。</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5、电源控制箱内更换一只带漏保的40A空开。</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6、电源改造按学校要求及国家规范施工，确保美观规范。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地胶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一、水磨石地面清理，后铺设地胶。</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二、产品规格：总厚度≥4.5mm,耐磨层厚度≥1.2mm,幅宽1.8m;材料为原生料制品，产品结构从上至下依次PVC耐磨层、稳定层、网格布夹带层、发泡层；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满足地胶技术性能指标要求不低于：</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1、邵氏硬度（邵A）50-90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2、拉伸强度≥2MPa</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3、拉断伸长率≥100%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4、球反弹≥90%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5、阻燃性Ⅰ级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6、氯乙烯单体，可溶性铅，可溶性镉未检出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7、挥发物≤50g/m2</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8、燃烧性能达到难燃B1级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9、快速变温试验：大于20个循环后，尺寸变化率（横向、纵向）≤0.01%，且样品表面无破损、变形等现象。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10、冷热冲击试验：大于20个循环后，拉伸强度变化率≤1%，尺寸变化率（横向、纵向）≤0.01%，且表面不破损、变形、脆裂等现象。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11、符合不少于55种邻苯二甲酸酯有害物质未检出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12、耐化学（清洗剂、矿物油）≥5000h后，外观无明显变化，灰卡4-5级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13、耐酸碱（40%氢氧化钠溶液、40%硫酸溶液）≥5000h后，外观无明显变化，灰卡4-5级</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1、整体采用实验室专用PP材质，四周圆弧处理，前后二块拼接而成，可拆装，内部隐藏实验线管及通风管道，方便检修。</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教师演示台实芯理化板台面开直径50mm孔1个,学生桌开直径15mm孔5个。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教师演示台、学生实验台简单拆装、搬运等。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7061" w:type="dxa"/>
            <w:vAlign w:val="center"/>
            <w:textDirection w:val="lrTb"/>
            <w:noWrap w:val="false"/>
          </w:tcPr>
          <w:p>
            <w:pPr>
              <w:jc w:val="center"/>
              <w:spacing w:line="300" w:lineRule="exac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L204生物实验室（生物综合）</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1、从教室电源控制箱引国标BV（4mm²*4+2.5mm²*1）电线至讲台下，出地面1.2米；从配电箱布线国标BV（2.5mm²*4）至顶部吊顶内，用作吊装设备及照明电源线，辅材自备。预留交换机插座（五孔）                                                                              2、从讲台处敷设电线国标BV（2.5mm²*3）至每个学生位，分4路控制，讲台处出地面2米，学生处出地面1.2米；28个点位。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3、瓷砖地面开槽，布PVC管穿电线，PVC管出地面150mm，管线布完后水泥砂浆填实，并用不小于1.5mm厚的不锈钢U字型槽板覆盖，槽板和地面齐平。开槽尺寸约为：宽30mm*深25mm。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4、学生处加装五孔插座1只，用于考试系统取电；插座需固定在功能柱上。</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5、电源控制箱内更换一只带漏保的40A空开。</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6、电源改造按学校要求及国家规范施工，确保美观规范。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地胶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一、水磨石地面清理，后铺设地胶。</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二、产品规格：总厚度≥4.5mm,耐磨层厚度≥1.2mm,幅宽1.8m;材料为原生料制品，产品结构从上至下依次PVC耐磨层、稳定层、网格布夹带层、发泡层；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满足地胶技术性能指标要求不低于：</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1、邵氏硬度（邵A）50-90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2、拉伸强度≥2MPa</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3、拉断伸长率≥100%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4、球反弹≥90%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5、阻燃性Ⅰ级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6、氯乙烯单体，可溶性铅，可溶性镉未检出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7、挥发物≤50g/m2</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8、燃烧性能达到难燃B1级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9、快速变温试验：大于20个循环后，尺寸变化率（横向、纵向）≤0.01%，且样品表面无破损、变形等现象。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10、冷热冲击试验：大于20个循环后，拉伸强度变化率≤1%，尺寸变化率（横向、纵向）≤0.01%，且表面不破损、变形、脆裂等现象。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11、符合不少于55种邻苯二甲酸酯有害物质未检出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12、耐化学（清洗剂、矿物油）≥5000h后，外观无明显变化，灰卡4-5级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13、耐酸碱（40%氢氧化钠溶液、40%硫酸溶液）≥5000h后，外观无明显变化，灰卡4-5级</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单眼</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洗眼喷头：采用不助燃PC材质模铸一体成形制作，具有过滤泡棉及防尘功能，上面防尘盖平常可防尘，使用时可随时被水冲开，并降低突然打开时短暂的高水压，避免冲伤眼睛。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付</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教师演示台实芯理化板台面开直径50mm孔1个,学生桌开直径15mm孔5个。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教师演示台、学生实验台简单拆装、搬运等。拆除生物灯。</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7061" w:type="dxa"/>
            <w:vAlign w:val="center"/>
            <w:textDirection w:val="lrTb"/>
            <w:noWrap w:val="false"/>
          </w:tcPr>
          <w:p>
            <w:pPr>
              <w:jc w:val="center"/>
              <w:spacing w:line="300" w:lineRule="exac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L206生物实验室（生物解剖）</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1、从教室电源控制箱引国标BV（4mm²*4+2.5mm²*1）电线至讲台下，出地面1.2米；从配电箱布线国标BV（2.5mm²*4）至顶部吊顶内，用作吊装设备及照明电源线，辅材自备。预留交换机插座（五孔）                                                                              2、从讲台处敷设电线国标BV（2.5mm²*3）至每个学生位，分4路控制，讲台处出地面2米，学生处出地面1.2米；28个点位。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3、瓷砖地面开槽，布PVC管穿电线，PVC管出地面150mm，管线布完后水泥砂浆填实，并用不小于1.5mm厚的不锈钢U字型槽板覆盖，槽板和地面齐平。开槽尺寸约为：宽30mm*深25mm。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4、学生处加装五孔插座1只，用于考试系统取电；插座需固定在功能柱上。</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5、电源控制箱内更换一只带漏保的40A空开。</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6、电源改造按学校要求及国家规范施工，确保美观规范。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地胶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一、水磨石地面清理，后铺设地胶。</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二、产品规格：总厚度≥4.5mm,耐磨层厚度≥1.2mm,幅宽1.8m;材料为原生料制品，产品结构从上至下依次PVC耐磨层、稳定层、网格布夹带层、发泡层；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满足地胶技术性能指标要求不低于：</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1、邵氏硬度（邵A）50-90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2、拉伸强度≥2MPa</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3、拉断伸长率≥100%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4、球反弹≥90%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5、阻燃性Ⅰ级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6、氯乙烯单体，可溶性铅，可溶性镉未检出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7、挥发物≤50g/m2</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8、燃烧性能达到难燃B1级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9、快速变温试验：大于20个循环后，尺寸变化率（横向、纵向）≤0.01%，且样品表面无破损、变形等现象。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10、冷热冲击试验：大于20个循环后，拉伸强度变化率≤1%，尺寸变化率（横向、纵向）≤0.01%，且表面不破损、变形、脆裂等现象。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11、符合不少于55种邻苯二甲酸酯有害物质未检出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12、耐化学（清洗剂、矿物油）≥5000h后，外观无明显变化，灰卡4-5级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13、耐酸碱（40%氢氧化钠溶液、40%硫酸溶液）≥5000h后，外观无明显变化，灰卡4-5级</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单眼</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洗眼喷头：采用不助燃PC材质模铸一体成形制作，具有过滤泡棉及防尘功能，上面防尘盖平常可防尘，使用时可随时被水冲开，并降低突然打开时短暂的高水压，避免冲伤眼睛。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付</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教师演示台实芯理化板台面开直径50mm孔1个,学生桌开直径15mm孔5个。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教师演示台、学生实验台简单拆装、搬运等。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7061" w:type="dxa"/>
            <w:vAlign w:val="center"/>
            <w:textDirection w:val="lrTb"/>
            <w:noWrap w:val="false"/>
          </w:tcPr>
          <w:p>
            <w:pPr>
              <w:jc w:val="center"/>
              <w:spacing w:line="300" w:lineRule="exac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L302化学实验室（下排风，静电地板地面升高）</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1、从教室电源控制箱引国标BV（4mm²*4+2.5mm²*1）电线至讲台下，出地面1.2米；从配电箱布线国标BV（2.5mm²*4）至顶部吊顶内，用作吊装设备及照明电源线，辅材自备。预留交换机插座（五孔）                                                                              2、从讲台处敷设电线国标BV（2.5mm²*3）至每个学生位，分4路控制，讲台处出地面2米，学生处出地面1.2米；28个点位。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3、瓷砖地面开槽，布PVC管穿电线，PVC管出地面150mm，管线布完后水泥砂浆填实，并用不小于1.5mm厚的不锈钢U字型槽板覆盖，槽板和地面齐平。开槽尺寸约为：宽30mm*深25mm。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4、学生处加装五孔插座1只，用于考试系统取电；插座需固定在功能柱上。</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5、电源控制箱内更换一只带漏保的40A空开。</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6、电源改造按学校要求及国家规范施工，确保美观规范。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3、瓷静电地板下穿管线，静电地板开洞（32mm），28个点位。</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教师演示台实芯理化板台面开直径50mm孔1个,学生桌开直径15mm孔5个。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教师演示台、学生实验台简单拆装、搬运等。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7061" w:type="dxa"/>
            <w:vAlign w:val="center"/>
            <w:textDirection w:val="lrTb"/>
            <w:noWrap w:val="false"/>
          </w:tcPr>
          <w:p>
            <w:pPr>
              <w:jc w:val="center"/>
              <w:spacing w:line="300" w:lineRule="exac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L304化学实验室（下排风，静电地板地面升高）</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1、从教室电源控制箱引国标BV（4mm²*4+2.5mm²*1）电线至讲台下，出地面1.2米；从配电箱布线国标BV（2.5mm²*4）至顶部吊顶内，用作吊装设备及照明电源线，辅材自备。预留交换机插座（五孔）                                                                              2、从讲台处敷设电线国标BV（2.5mm²*3）至每个学生位，分4路控制，讲台处出地面2米，学生处出地面1.2米；28个点位。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3、瓷砖地面开槽，布PVC管穿电线，PVC管出地面150mm，管线布完后水泥砂浆填实，并用不小于1.5mm厚的不锈钢U字型槽板覆盖，槽板和地面齐平。开槽尺寸约为：宽30mm*深25mm。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4、学生处加装五孔插座1只，用于考试系统取电；插座需固定在功能柱上。</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5、电源控制箱内更换一只带漏保的40A空开。</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6、电源改造按学校要求及国家规范施工，确保美观规范。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3、瓷静电地板下穿管线，静电地板开洞（32mm），28个点位。</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教师演示台实芯理化板台面开直径50mm孔1个,学生桌开直径15mm孔5个。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教师演示台、学生实验台简单拆装、搬运等。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7061" w:type="dxa"/>
            <w:vAlign w:val="center"/>
            <w:textDirection w:val="lrTb"/>
            <w:noWrap w:val="false"/>
          </w:tcPr>
          <w:p>
            <w:pPr>
              <w:jc w:val="center"/>
              <w:spacing w:line="300" w:lineRule="exac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L402生物实验室（解剖）</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1、从教室电源控制箱引国标BV（4mm²*4+2.5mm²*1）电线至讲台下，出地面1.2米；从配电箱布线国标BV（2.5mm²*4）至顶部吊顶内，用作吊装设备及照明电源线，辅材自备。预留交换机插座（五孔）                                                                              2、从讲台处敷设电线国标BV（2.5mm²*3）至每个学生位，分4路控制，讲台处出地面2米，学生处出地面1.2米；28个点位。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3、瓷砖地面开槽，布PVC管穿电线，PVC管出地面150mm，管线布完后水泥砂浆填实，并用不小于1.5mm厚的不锈钢U字型槽板覆盖，槽板和地面齐平。开槽尺寸约为：宽30mm*深25mm。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4、学生处加装五孔插座1只，用于考试系统取电；插座需固定在功能柱上。</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5、电源控制箱内更换一只带漏保的40A空开。</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6、电源改造按学校要求及国家规范施工，确保美观规范。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地胶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一、水磨石地面清理，后铺设地胶。</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二、产品规格：总厚度≥4.5mm,耐磨层厚度≥1.2mm,幅宽1.8m;材料为原生料制品，产品结构从上至下依次PVC耐磨层、稳定层、网格布夹带层、发泡层；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满足地胶技术性能指标要求不低于：</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1、邵氏硬度（邵A）50-90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2、拉伸强度≥2MPa</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3、拉断伸长率≥100%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4、球反弹≥90%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5、阻燃性Ⅰ级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6、氯乙烯单体，可溶性铅，可溶性镉未检出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7、挥发物≤50g/m2</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8、燃烧性能达到难燃B1级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9、快速变温试验：大于20个循环后，尺寸变化率（横向、纵向）≤0.01%，且样品表面无破损、变形等现象。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10、冷热冲击试验：大于20个循环后，拉伸强度变化率≤1%，尺寸变化率（横向、纵向）≤0.01%，且表面不破损、变形、脆裂等现象。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11、符合不少于55种邻苯二甲酸酯有害物质未检出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12、耐化学（清洗剂、矿物油）≥5000h后，外观无明显变化，灰卡4-5级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13、耐酸碱（40%氢氧化钠溶液、40%硫酸溶液）≥5000h后，外观无明显变化，灰卡4-5级</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单眼</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洗眼喷头：采用不助燃PC材质模铸一体成形制作，具有过滤泡棉及防尘功能，上面防尘盖平常可防尘，使用时可随时被水冲开，并降低突然打开时短暂的高水压，避免冲伤眼睛。</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付</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教师演示台实芯理化板台面开直径50mm孔1个,学生桌开直径15mm孔5个。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教师演示台、学生实验台简单拆装、搬运等。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7061" w:type="dxa"/>
            <w:vAlign w:val="center"/>
            <w:textDirection w:val="lrTb"/>
            <w:noWrap w:val="false"/>
          </w:tcPr>
          <w:p>
            <w:pPr>
              <w:jc w:val="center"/>
              <w:spacing w:line="300" w:lineRule="exac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L404物理实验室（力学）</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1、从教室电源控制箱引国标BV（4mm²*4+2.5mm²*1）电线至讲台下，出地面1.2米；从配电箱布线国标BV（2.5mm²*4）至顶部吊顶内，用作吊装设备及照明电源线，辅材自备。预留交换机插座（五孔）                                                                              2、从讲台处敷设电线国标BV（2.5mm²*3）至每个学生位，分4路控制，讲台处出地面2米，学生处出地面1.2米；28个点位。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3、瓷砖地面开槽，布PVC管穿电线，PVC管出地面150mm，管线布完后水泥砂浆填实，并用不小于1.5mm厚的不锈钢U字型槽板覆盖，槽板和地面齐平。开槽尺寸约为：宽30mm*深25mm。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4、学生处加装五孔插座1只，用于考试系统取电；插座需固定在功能柱上。</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5、电源控制箱内更换一只带漏保的40A空开。</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6、电源改造按学校要求及国家规范施工，确保美观规范。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地胶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一、水磨石地面清理，后铺设地胶。</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二、产品规格：总厚度≥4.5mm,耐磨层厚度≥1.2mm,幅宽1.8m;材料为原生料制品，产品结构从上至下依次PVC耐磨层、稳定层、网格布夹带层、发泡层；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满足地胶技术性能指标要求不低于：</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1、邵氏硬度（邵A）50-90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2、拉伸强度≥2MPa</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3、拉断伸长率≥100%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4、球反弹≥90%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5、阻燃性Ⅰ级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6、氯乙烯单体，可溶性铅，可溶性镉未检出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7、挥发物≤50g/m2</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8、燃烧性能达到难燃B1级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9、快速变温试验：大于20个循环后，尺寸变化率（横向、纵向）≤0.01%，且样品表面无破损、变形等现象。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10、冷热冲击试验：大于20个循环后，拉伸强度变化率≤1%，尺寸变化率（横向、纵向）≤0.01%，且表面不破损、变形、脆裂等现象。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11、符合不少于55种邻苯二甲酸酯有害物质未检出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12、耐化学（清洗剂、矿物油）≥5000h后，外观无明显变化，灰卡4-5级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13、耐酸碱（40%氢氧化钠溶液、40%硫酸溶液）≥5000h后，外观无明显变化，灰卡4-5级</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教师演示台实芯理化板台面开直径50mm孔1个,学生桌开直径15mm孔5个。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教师演示台、学生实验台简单拆装、搬运等。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7061" w:type="dxa"/>
            <w:vAlign w:val="center"/>
            <w:textDirection w:val="lrTb"/>
            <w:noWrap w:val="false"/>
          </w:tcPr>
          <w:p>
            <w:pPr>
              <w:jc w:val="center"/>
              <w:spacing w:line="300" w:lineRule="exac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L406物理实验室（力学）</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1、从教室电源控制箱引国标BV（4mm²*4+2.5mm²*1）电线至讲台下，出地面1.2米；从配电箱布线国标BV（2.5mm²*4）至顶部吊顶内，用作吊装设备及照明电源线，辅材自备。预留交换机插座（五孔）                                                                              2、从讲台处敷设电线国标BV（2.5mm²*3）至每个学生位，分4路控制，讲台处出地面2米，学生处出地面1.2米；28个点位。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3、瓷砖地面开槽，布PVC管穿电线，PVC管出地面150mm，管线布完后水泥砂浆填实，并用不小于1.5mm厚的不锈钢U字型槽板覆盖，槽板和地面齐平。开槽尺寸约为：宽30mm*深25mm。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4、学生处加装五孔插座1只，用于考试系统取电；插座需固定在功能柱上。</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5、电源控制箱内更换一只带漏保的40A空开。</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6、电源改造按学校要求及国家规范施工，确保美观规范。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地胶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一、水磨石地面清理，后铺设地胶。</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二、产品规格：总厚度≥4.5mm,耐磨层厚度≥1.2mm,幅宽1.8m;材料为原生料制品，产品结构从上至下依次PVC耐磨层、稳定层、网格布夹带层、发泡层；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满足地胶技术性能指标要求不低于：</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1、邵氏硬度（邵A）50-90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2、拉伸强度≥2MPa</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3、拉断伸长率≥100%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4、球反弹≥90%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5、阻燃性Ⅰ级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6、氯乙烯单体，可溶性铅，可溶性镉未检出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7、挥发物≤50g/m2</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8、燃烧性能达到难燃B1级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9、快速变温试验：大于20个循环后，尺寸变化率（横向、纵向）≤0.01%，且样品表面无破损、变形等现象。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10、冷热冲击试验：大于20个循环后，拉伸强度变化率≤1%，尺寸变化率（横向、纵向）≤0.01%，且表面不破损、变形、脆裂等现象。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11、符合不少于55种邻苯二甲酸酯有害物质未检出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12、耐化学（清洗剂、矿物油）≥5000h后，外观无明显变化，灰卡4-5级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13、耐酸碱（40%氢氧化钠溶液、40%硫酸溶液）≥5000h后，外观无明显变化，灰卡4-5级</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教师演示台实芯理化板台面开直径50mm孔1个,学生桌开直径15mm孔5个。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教师演示台、学生实验台简单拆装、搬运等。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7061" w:type="dxa"/>
            <w:vAlign w:val="center"/>
            <w:textDirection w:val="lrTb"/>
            <w:noWrap w:val="false"/>
          </w:tcPr>
          <w:p>
            <w:pPr>
              <w:jc w:val="center"/>
              <w:spacing w:line="300" w:lineRule="exac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eastAsia="zh-CN" w:bidi="ar"/>
              </w:rPr>
              <w:t xml:space="preserve">珠江路实验学校</w:t>
            </w:r>
            <w:r>
              <w:rPr>
                <w:rFonts w:hint="eastAsia" w:ascii="微软雅黑" w:hAnsi="微软雅黑" w:eastAsia="微软雅黑" w:cs="微软雅黑"/>
                <w:b/>
                <w:bCs/>
                <w:color w:val="000000"/>
                <w:sz w:val="20"/>
                <w:szCs w:val="20"/>
                <w:lang w:bidi="ar"/>
              </w:rPr>
              <w:t xml:space="preserve">危化品室</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药品柜</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1、规格：1000×500×2000mm（±50mm）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2、柜体：侧板、顶底板采用改性PP材料模具一次成型，表面沙面和光面相结合处理，保证柜体之坚固及密封性，耐腐蚀性强，顶板、底板预留模具成型排风孔。底部镶嵌15mm*30*1.2mm钢制横梁，承重力强。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3、下柜柜门：内框采用改性PP材质模具一次成型，外嵌5mm厚钢化烤漆玻璃。上下拉手及三角对称五点固定，防止玻璃的松动或开合。伸缩式PP旋转门轴，四角圆弧倒角，内侧弧形圆边，配锁。</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4、上柜柜门：内框采用改性PP材质模具一次成型，外嵌5mm厚钢化烤漆玻璃，中间烤漆镂空制作。上下拉手及三角对称五点固定，防止玻璃的松动或开合。伸缩式PP旋转门轴，四角圆弧倒角，内侧弧形圆边。配锁。</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层板：上柜配置两块活动层板，下柜配置一块活动层板，层板全部采用改性PP材料模具一次成型，表面沙面和光面相结合处理，四周有阻水边，底部镶嵌两根15mm*30*1.2mm钢制横梁，承重力强。整体设计为活动式，可随意抽取放在合适的隔层，自由组合各层空间。</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6、拉手：采用改性PP材料模具一次成型，直角梯形四周倒圆与柜门平行，开启方便。</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7、门铰链：采用改性PP材料模具一次成型，伸缩式PP旋转门轴，永不生锈，耐腐蚀性好。</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8、PP台阶一个，方便药品和药剂的摆放。</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9、可以用于各种腐蚀性化学品的储藏，如硫酸、盐酸、硝酸、乙酸、硫磺酸等。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易燃品储存柜/易制爆储存柜</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1、尺寸：1840 mm*900 mm *510 mm（±50mm）；门类型：双开门</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易燃品储存柜外壳体全部采用1.2mm的冷轧钢板，柜体底座采用2.0mm的冷轧钢板,内外表面经酸洗磷化环氧树脂粉末喷涂，烘热固化处理。</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易燃品储存柜体内胆均采用PP（聚丙烯树脂）板，厚度不低于4mm；柜底部设置进风口，进风口配有PP（聚丙烯树脂）旋转式可调风阀；柜体的底板中部有Φ10mm漏液孔，漏液孔上面盖上60目304*不锈钢网；柜体底部设高度不小于160mm黄沙(防倒）挡板，柜体内部最下层留有可以存放不少于120mm厚黄沙的填埋腔，用于埋放金属钠、黄磷（白磷）等的易燃物品。</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柜底装有四个移动尼龙轮，便于易燃品毒害品储存柜移动；前轮后有2个手动调节罗杆，方便危化品储存柜定位。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柜中部有不少于3个一次成型聚丙烯活动层板，每层阶梯板外延边有积液槽（PP层板（非柜体所用板材）。</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柜顶部出风口配一次成型PP法兰（管道直径160mm），内置一个交流风机，无静电火花。</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2、密封件：柜体门与柜体之间应安装防火膨胀密封件。</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3、陶瓷纤维棉：柜体应填充具有保温隔热作用的陶瓷纤维棉。 </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4、铰链：铰链应为钢琴式铰链，确保门能开180度。 </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5、锁具：配备不低于符合GB 17565-2022《防盗安全门通用技术条件》标准的3级机械钥匙锁及高保密性电子密码锁，实现双人双锁管理，同时锁具具有开锁记录查询功能及隐码功能；天地锁锁舌选用坚韧且有弹性的高分子合成塑料制成，耐磨且抗腐蚀性能极强。 </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6、环保性能：提供整柜甲醛释放量：≤0.05mg/m³；挥发性有机物释放量：苯：≤0.05mg/m³、甲苯≤0.1mg/m³ 、二甲苯≤0.1mg/m³、TVOC≤0.3mg/m³，可迁移有害元素铅Pb、镉Cd、铬Cr、汞Hg、锑Sb、钡Ba、硒Se、砷As均不超过限值的检测；整柜至少通过5项化学试剂测试。1、硫酸（98%）；2、盐酸（37%）；3、硝酸（65%）；4、氢氧化钠（40%）；5、甲醛（37%）。</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7、配备接地装置实现完全接地。</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8、装箱时柜内外的说明标识：《易燃品毒害品储存柜使用说明书》，《合格证》，《安全储存说明书》，柜门上贴有反光警示标签。</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7061" w:type="dxa"/>
            <w:vAlign w:val="center"/>
            <w:textDirection w:val="lrTb"/>
            <w:noWrap w:val="false"/>
          </w:tcPr>
          <w:p>
            <w:pPr>
              <w:jc w:val="center"/>
              <w:spacing w:line="300" w:lineRule="exac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eastAsia="zh-CN" w:bidi="ar"/>
              </w:rPr>
              <w:t xml:space="preserve">珠江路实验学校</w:t>
            </w:r>
            <w:r>
              <w:rPr>
                <w:rFonts w:hint="eastAsia" w:ascii="微软雅黑" w:hAnsi="微软雅黑" w:eastAsia="微软雅黑" w:cs="微软雅黑"/>
                <w:b/>
                <w:bCs/>
                <w:color w:val="000000"/>
                <w:sz w:val="20"/>
                <w:szCs w:val="20"/>
                <w:lang w:bidi="ar"/>
              </w:rPr>
              <w:t xml:space="preserve">物理仪器配置清单</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初中物理3D实验室软件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1、软件要求提供的资源数量不少于500个，要求所有实验支持在任意视角下对实验进行观察和交互式操作。要求所有实验中的模型为3D高精度模型，支持无极放大，实验模型高保真。</w:t>
            </w:r>
            <w:r/>
          </w:p>
          <w:p>
            <w:pPr>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2、软件要求提供与国家课程标准中知识点同步的实验，完整实验数量不少于100个。支持在实验目录页即可直接查看具体的实验内容简介，方便老师在使用中快速了解具体实验内容，提高老师课堂教学效率。</w:t>
            </w:r>
            <w:r/>
          </w:p>
          <w:p>
            <w:pPr>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3、软件要求提供的中学物理实验内容模块需根据知识点分类，其中包含声和光、电和磁、电磁能、能量，能量的转换、能量守恒、电磁能、内能、物质的形态和变化、物质的属性、多种多样的运动形式、机械运动和力、能源与可持续发展等实验内容与实验场景。</w:t>
            </w:r>
            <w:r/>
          </w:p>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4、以上所有软件功能要求在同一软件系统平台中进行操作。方便用户管理、使用。</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护目镜</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防机械冲击</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简易急救箱</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箱体坚固，具备快开设计（不含药品、药品另配）</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仪器车</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600mm×400mm×800mm，车轮Φ75mm，厚25mm；一轮带刹车，车轮固定，车架扭动量（上部）≤20mm；钢材制作，载重≥60kg</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辆</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提盒</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木制，配有提手，420mm×280mm×380mm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96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木制，配有提手，490mm×360mm×290mm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整理箱</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PP材质，电子元件、机械零件等物料分类收纳</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镊子</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304不锈钢，平头，长125mm，钢板厚1.2mm，镊子前部应有防滑脱锯齿状</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水准器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气泡水准器</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工具箱</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含民用剪刀、平口钳、尖嘴钳、剥线钳、斜口钳、钢丝钳、一字和十字螺丝刀、锥子、镊子等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箱</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寒暑表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量程-50℃～50℃，分度值1℃，允许误差±1℃；底板长200mm～300mm，温度计外径5mm～8mm，感温泡长8mm～15mm；当温度达到100℃时，安全泡应能容纳上升感温液，温度计不致胀破</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电子体温计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量程35.0℃～41.0℃，分辨力0.1℃，在达到测量稳定值时应有提示或标志</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红液温度计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量程-20℃～100℃，分度值1℃，示值误差&lt;±1.5℃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水银温度计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量程0℃～200℃，分度值2℃，有保护套</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数字温度计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量程-30℃～200℃，分辨力0.1℃，误差&lt;±1.5℃；不接电脑，可独立运行，自带显示屏，表盘尺寸≥180mm×90mm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数字温度计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量程-10℃～110℃，分辨力0.1℃，误差&lt;±1.5℃；不接电脑，可独立运行，自带显示屏，显示屏尺寸≥30mm×40mm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双金属片温度计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指针式，双金属游丝测温，游丝部位可见，盘面直径≥150mm；量程－10℃～50℃，误差≤±3℃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红外温度计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分辨力0.1℃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湿度计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指针式</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漏斗</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漏斗口径90mm，斗颈长90mm，下口磨成45º角，斜口边口倒角或熔光，耐水性HGB3级</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电子打火枪</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电加热丝</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教学用远红外加热器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可用于试管加热，炉芯内径50mm～60mm，炉芯内高度80mm～90mm，炉体内芯应采用陶瓷加热材料，炉体外壳应采用耐温材料，能正常连续工作1h</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烧杯用电加热器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0W～250W，可调；密封式</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烧瓶用电加热器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0W～250W，可调；密封式</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打气筒</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气嘴外径8mm±0.1mm，长度15mm，台阶口，工作气压不小于0.295MPa</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脚踏打气筒</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气嘴外径8mm±0.1mm，台阶口，工作气压不小于0.295MPa</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两用气筒</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活塞胶垫，气嘴外径8mm±0.1mm，长度15mm，台阶口；抽气压强达到6.7kPa时，放置30s，漏气引起的压强变化应≤2.6kPa；充气压强达到290kPa时，放置30s，漏气引起的压强变化应≤9.8kPa</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酒精</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工业</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mL</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晶体熔化与凝固实验器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包括透明容器、2个试管、2个温度计、搅拌勺等，有固定试管及温度计装置。</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制作简易温度计实验材料</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小玻璃瓶、胶塞、细玻璃管、5mL红色食用色素等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物质弹性实验材料</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包括软弹簧、硬弹簧、橡皮筋、橡皮泥、海绵、钢尺等，材料选取应有代表性，包括易形变材料、不易形变材料、完全弹性形变材料、塑性形变材料等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物质磁性实验材料</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多种形状的人造磁体、铜块、铁块、铝块、木块、镍片、回形针若干</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磁悬浮原理实验器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包括2个小圆柱形磁体、配套试管等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物质导电性实验材料</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包括金属线、碳棒、塑料棒、木棍、玻璃棒等；材料选取应有代表性，包括金属材料和非金属材料，非金属材料中要有导体和绝缘体；实验现象明显，电路中接导体材料时，应能使LED发光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电缆结构与材料套材</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包括裸电线、漆包线、电线电缆、电力电缆、通信电缆等实物，通过截面能观察导体、绝缘体及电缆结构</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人体发电趣味演示仪</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铝电极和铜电极，带检流计</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物质导热性实验材料</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包括铜、铁、铝，陶瓷、木材等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热传导演示器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包括纯铜、铝、铁、不锈钢、聚四氟乙烯塑料等5种导热棒的材料，每种材料1根；导热棒受热后温变油墨应逐渐变色，不同材料的导热棒区别明显，冷却后能恢复</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双金属片</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双金属片的膨胀系数差异大，加热使其升温时弯曲程度明显</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架盘天平</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200g，0.2g单杠杆等臂式双盘天平，配6级（M2级）砝码：100g、50g、10g、5g各1个，20g2个，钢制镊子。</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架盘天平</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一）适用范围、规格：1.中学实验教学称量用。2.规格：500g、0.5g,所配砝码为6级（M2级）。（二）技术要求：1.外形尺寸：300㎜×120㎜×175mm,托盘直径120mm。2.双托盘、单杠等臂式、横梁上装有刻度尺。3.最大称量500克，刻度尺最大称量10克。4.最小分度值0.5克。5.最大称量时感量为0.5克。6.配6级砝码及镊子一套。7.天平应符合GB4168第2章的有关要求级JJG156第1章。8.砝码应符合GB4167第2章的有关要求。</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物理天平</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量程0g〜500g，分度值0.02g，配5级（M1级）砝码，钢制镊子</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案秤</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量程0kg〜10kg，分度值10g，普通准确度等级，有“CMC”标志</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圆柱体组</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包括纯铜、铝（或铝合金）和铁（钢）等3种材质圆柱体；圆柱体直径20mm，高32mm；每个圆柱体配网兜（质量小于0.01g）</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500mL，5mL透明钠钙玻璃制，分度线、数字和标志应完整、清晰和耐久，容积为20℃时充满量筒刻度线所容纳体积</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250mL，2mL透明钠钙玻璃制，分度线、数字和标志应完整、清晰和耐久，容积为20℃时充满量筒刻度线所容纳体积</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量杯</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250mL，无色透明玻璃制，口部应熔光，壁厚≥1.2mm，耐水性HGB3级</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密度计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＞1g/cm3，在液体中倾斜度≤0.2分度值</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密度计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＜1g/cm3，在液体中倾斜度≤0.2分度值</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140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光学显微镜</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640×，带光源</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141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放大镜</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手持式，5×，焦距50mm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142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望远镜</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双筒，7×35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分子间作用力模型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模拟分子的两球之间由弹簧和一根拉紧的橡皮筋连接，弹簧长13cm，Φ2cm，能直观表现出分子间斥力、分子间引力</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144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内聚力演示器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2个铅圆柱体、旋转式刮削器、挤压器和2根扳杆组成；圆柱体尺寸约Φ20mm×45mm，铅柱镶铁部分长度约为铅圆柱长度的1/2，挤压架应采用铁质结构，2个铅圆柱体应能装入挤压器中，通过螺旋实现挤压；挤压器螺旋挤压的最大和最小距离差应≥35mm，挤压器装入铅圆柱挤压至人力不能继续挤压时，在挤压方向的形变应≤0.25mm；刮削器由转柄、刀片和刀轴组成，削平的两铅圆柱体端面压在一起后，承受轴向拉力应≥60N</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145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布纤维卷尺</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摇卷盒式，量程0m～30m，分度值1cm，尺带宽度20mm，有“CMC”标志，刻度清晰，边缘平直、材料环保、耐磨损</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盒</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146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量程0mm～150mm，分辨力0.01mm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把</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147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外径千分尺(螺旋测微器)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量程0mm～25mm，分度值0.01mm；螺杆和螺母全量程范围内充分啮合，配合良好，无明显卡滞和轴向窜动，螺杆与轴套配合良好，无明显径向摆动，锁紧装置能有效锁紧测微装置</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数显外径千分尺</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量程0mm～25mm，分辨力0.001mm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149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激光测距仪</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量程1mm～50m，分辨力1mm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滚轮式测距仪</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量程0m～9999.9m，分辨力0.1m；由滚轮、手柄、计数装置、起始箭头等组成，滚轮直径≥160mm，轮胎加厚，耐磨损，材质环保</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机械秒表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分度值0.1s，一等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沙漏</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玻璃制，5min误差≤±10%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日晷</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非固定赤道式，圆形晷面，直径300mm；日晷面和日晷台上表面之间的夹角能调，可调范围为36°～87°，有角度指示，误差≤±2°；北面和南面时刻线，至少包含2时至22时；每隔15°均匀分布1长线，7.5°分布1短线，误差≤±1°；晷针与日晷面垂直</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斜面小车</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包括斜面、小车、摩擦块、支撑杆、砝码桶和摩擦材料等，与教学支架配套使用；斜面板≥915mm×100mm×20mm，一端应有滑轮、缓冲或捕获小车的装置；斜面板工作面平面度误差应小于2mm；附摩擦材料丁晴橡胶、砂纸、棉布等，有摩擦材料的固定夹</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弹弓</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形变现象显著</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把</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改变物体运动状态实验装置</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小铁球、条形磁铁、小球释放装置</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物体受力与运动演示器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含直流电机、绕线盘、电源开关等；直流电机额定电压3V，空载电流小于50mA，悬挂200g重物匀速上升时工作电流小于150mA；电源开关应能控制电机正/反向旋转，中间为停；绕线盘外应有标志，可看到绕线盘旋转方向，线长800mm±50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金属钩码</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50g±0.5g，每盒10个，可叠放</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双锥体上滚演示器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含双椎体、圆柱体、支架等，支架导轨夹角可调</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摩擦力实验器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摩擦板、摩擦块、摩擦材料、匀速电机、定滑轮、测力计、测力计支架、细绳、钩码等组成。提供同一种材料3种不同粗糙程度的摩擦面，同种材料、相同粗糙程度的不同面积的摩擦面。摩擦板不小于800mm×100mm×10mm，平面度误差不大于0.6mm，质地坚硬，表面均匀。摩擦块尺寸不小于110mm×50mm×35mm，两摩擦面平面度误差应不大于0.1mm，侧面有挂钩。电机拉动速度0～5cm/s，可调节，可显示。匀速运动速度误差≤±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161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轴承模型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包括滚动轴承和滑动轴承2种：滑动轴承由工程塑料制轴承架、金属制转轴、铜轴套组成；滚动轴承由透明塑料外圈和内圈、钢滚珠（直径≥15mm）组成，外圈外径≥120mm，内圈内径≥55mm，能看清滚动轴承内部结构</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162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轨道、面板、支脚、手柄、长度标尺、角度标尺、记忆游标、圆球、挡球板、金属衬条、支点和捕球网组成；面板长度≥1100mm，高度≥200mm；轨道采用可弯曲的软性材料，长≥1200mm，内侧宽度为9mm，平行度公差≤0.2mm。轨道下行段固定，上行段倾斜角应能在0°～15°之间连续可调</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163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物体浮沉条件演示器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产品由透明盛液筒、浮筒、配重体、导引磁铁、铁丝条组成。1.盛液筒用无毒、透明塑料制成，高300mmn、内径108mm，筒壁应有刻度标志，盛液筒底面平稳。2.浮筒为圆柱形状、空心，外径96mm，内径60mm，高98mm。3.配重体为直径85mm的铁丝绕制，铁丝直径2mm，表面防锈。</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164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伽利略温度计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不少于10球，14℃～32℃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165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压力和压强演示器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压强小桌，尺寸≥200mm×100mm×100mm；配套多孔弹性材料，尺寸≥220mm×120mm×50mm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166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压力作用效果演示器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由3组规格相同的长方体金属块、带刻度的透明长方体容器、硬海绵块组成；跟金属块的3个面积对应的3块海绵应受力形变均匀；透明塑料盒带刻度，金属块和海绵方便取出</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167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透明盛液筒</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高300mm±5mm，筒底外径≥110mm，壁厚≥1.5mm。筒身有深度标尺，标尺长≥250mm，分度值1mm，透光率应≥90％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168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液体对器壁压强演示器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透明圆筒壁同一直线上不同高度处应有3个喷嘴，对面应有1个喷嘴；配4个喷嘴塞或盖。</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169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液压机模型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由大缸体、小缸体、连通管、承压台、支架、切刀和压簧等组成，全透明，工作介质为水；大小活塞直径比≥2.5，压簧全压缩时压力≥1200N，用手抽动小活塞产生的压力能切断直径2mm纯铜丝</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马德堡半球</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由半球、拉手、气嘴、阀门以及底座等组成；球体外径应≥80mm，气嘴外径8mm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171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大气压系列实验材料</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可完成覆杯实验、负压吹气球、喷泉、拔火罐、粗测大气压、证明大气压存在、虹吸等趣味实验</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172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离心水泵模型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含泵体、驱动机构、底座、进水管、出水管等，应附漏斗、盛水筒、弓形固定夹，泵体上有透明观察窗；叶轮直径≥100mm，进水口外径10mm，出水口外径8mm；在额定转速下，扬水高度、吸水高度≥600mm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173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抽水机模型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由筒身、活塞、活塞杆、进水阀、排水阀、进水管、出水管和储水池等组成；筒身应采用无色透明塑料材质，进水阀、排水阀均应单向导通</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174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流体压强与流速关系演示器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气体式，由气体流动管道、气体接入部件、压强观测部件组成</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175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流体压强与流速关系演示器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液体式，由液体流动管道、液体接入部件、液体回收部件、压强观测部件4部分组成</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流体压强与流速关系演示器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气体/液体两用式</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177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飞机升力原理演示器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由机翼模型（或飞机模型，硬质塑料制成）、平行风源风机、底座、滑杆等组成，机翼下表面水平；若有调速电位器的Ⅱ类电器，金属外壳（以及与金属外壳相连的螺母）不应露在外</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组</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178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杠杆</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由杠杆、轴、调平装置和6个挂钩组成，挂钩在标尺上能连续移动，杠杆长≥500mm，木杠杆尺端需包头加固</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179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演示滑轮组</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由单滑轮2件、三并滑轮2件、三串滑轮2件、支杆滑轮2件组成，附滑轮绳；额定负荷：单滑轮9.8N，串及并滑轮为19.6N，支杆滑轮为9.8N；满负荷时，单、支杆滑轮的效率不应低于90％，并、串滑轮的效率不应低于75％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组</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滑轮组</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单滑轮4件、二并滑轮2件、二串滑轮2件、支杆滑轮2件构成，每个滑轮组中至少有1个可止动滑轮，附滑轮绳；额定负荷：单滑轮9.8N，串及并滑轮为19.6N，支杆滑轮为9.8N；满负荷时，单、支杆滑轮的效率不应低于90％，并、串滑轮的效率不应低于75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组</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181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支杆定滑轮组</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含单滑轮、桌边夹、尼龙线各3件，小铁环1件；支杆高度可调，桌边夹的夹持厚度应≥70mm，夹入深度应≥40mm，支杆长度≥100mm，单滑轮外径40mm，轮毂厚10mm，轮缘厚8mm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组</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182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轮轴模型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由大小台阶轮、平衡杆、平衡块、主轴和支架组成；台阶轮两种颜色，大轮Φ120mm，小轮Φ60mm；支架为2mm钢板冲压，主轴直径6mm；台阶轮相对轴的静起动力矩应≤2.5×10－4N·m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183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音叉</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256Hz±0.3Hz；由音叉、共鸣箱、音叉槌等组成；松木共鸣箱，尺寸300mm×93mm×53mm；在环境噪声不大于30dB的室内，套用音叉槌敲击音叉，距音叉1000mm处声强应不小于90dB</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184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音叉</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512Hz±0.4Hz；由音叉、共鸣箱、音叉槌等组成；松木共鸣箱，尺寸150mm×93mm×53mm；在环境噪声不大于30dB的室内，套用音叉槌敲击音叉，距音叉1000mm处声强应不小于90dB</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185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旋片真空泵</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单级；抽气速率：1L/S；电源：220V，50Hz；极限真空：10Pa；电机功率：120W；加油量：250ml；</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纸盆扬声器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动圈式，直径≥200mm，8Ω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187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声级计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130dB，0.1dB；手持式，数显</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188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初中声学实验箱</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可完成声音的产生、声音的传播、声音的特性、噪声的测量等实验</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189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平行光源</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至少2条平行光，非激光光源</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三球仪</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齿轮、底座等应为注塑材质，白道面与黄道面的夹角放大到15°；用于光的直线传播情境化教学</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191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透明水槽</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250mm×180mm×100mm，透明塑料制，透光率≥85％，壁厚≥2mm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192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透明水槽</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Φ200mm×100mm，透明塑料制，透光率≥85％，壁厚≥2mm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193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凸透镜</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焦距75mm，误差±2mm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面</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194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眼球仪</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用于眼睛的工作原理及视力矫正实验；模拟晶状体曲度可调节，能实现正常、远视、近视三种状态，近视镜、远视镜与眼球匹配，能将远视眼、近视眼调节为正常视力</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195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白光的色散与合成演示器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光源、三棱镜、三棱镜台、光屏、支承系统等组成；两块棱镜应配对，用ZF3玻璃制，其折射率之差不大于0.003，中部色散之差不大于0.0004。实验效果：做白光的色散实验时，可见光区域内光谱连续清晰；能把白光色散后的七色光谱带还原成白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196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紫外线作用演示器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产品由机座、6W日光灯、波长为254mm紫外线灯管、波长为36</w:t>
            </w:r>
            <w:r>
              <w:rPr>
                <w:rFonts w:hint="eastAsia" w:ascii="微软雅黑" w:hAnsi="微软雅黑" w:eastAsia="微软雅黑" w:cs="微软雅黑"/>
                <w:color w:val="000000"/>
                <w:sz w:val="20"/>
                <w:szCs w:val="20"/>
                <w:lang w:bidi="ar"/>
              </w:rPr>
              <w:t xml:space="preserve">5mm的紫外线灯管、防紫外线辐射罩壳、滤色片、荧光片等构成。产品主要技术指标：使用电压：AC220V±10%50～60Hz；整机功率：＜12W；灯管寿命：＞500小时。机座采用工程塑料制作，外形尺寸约300×230×95mm，仪器各控制开关设在机座上；防紫外线辐射罩壳采用厚度约3mm的红色透明有机板制作，外形尺寸为300×150×45mm；滤色片采用透明有机板制作，分为红、黄、绿、蓝共四种，尺寸均为70×50×3mm；荧光片尺寸为70×50×3mm,采用透明无色有机玻板制作。产品另配有晒图纸等实验所需耗材。</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197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红外线热效应演示器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产品由红外线发现实验器、红外线性质说明器和红外线控制器三种仪器构成。红外线发现实验器由平行白光强光源、三棱分光镜、暗箱和</w:t>
            </w:r>
            <w:r>
              <w:rPr>
                <w:rFonts w:hint="eastAsia" w:ascii="微软雅黑" w:hAnsi="微软雅黑" w:eastAsia="微软雅黑" w:cs="微软雅黑"/>
                <w:color w:val="000000"/>
                <w:sz w:val="20"/>
                <w:szCs w:val="20"/>
                <w:lang w:bidi="ar"/>
              </w:rPr>
              <w:t xml:space="preserve">红外线接收器等部分组成，仪器总高度约170mm；红外线性质说明器由底座、凹面镜、热辐射物体、热敏温度计等部分组成，仪器外形尺寸约220×105×160mm；红外线控制器由红外线发射装置和红外线接收装置两部分构成，共同安装在同一机壳内，外形尺寸约130×65×85mm。红外线发现实验器中光阑狭缝长约30mm，宽3mm，毛玻璃屏有效观察范围50×40mm；红外线性质说明器中凹面镜直径为φ100mm，热辐射体采用φ25.6mm的钢球；红外线控制器中红外线接收管为2CU3型光敏管，其光谱范围：400～1100n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光具盘</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分离型、磁吸附式。矩形光盘长≥650mm，宽≥240mm；圆形光盘直径≥250mm。盘面分四个象限，以一条直径为始边，分别刻有0°～90°刻度。半导体激光光源，可显示5条平行光。光学零件：梯形玻砖1件，等腰直角棱镜1件，半圆柱透镜1件，小双凹柱透镜1件，小双凸柱透镜1件，双凸透镜1件，大双凸柱透镜1件，平面镜1件，凹凸柱面镜1件，正三棱镜2件</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199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初中光学实验箱</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可完成光的直线传播、反射定律、平面镜成像、光的折射、光的色散、色光的混合、透镜的焦点与焦距、凸透镜成像规律、望远镜与显微镜等实验</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感应起电机</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由起电盘、底座、莱顿瓶、集电杆、放电杆、电刷、电刷杆、皮带轮、连接片等组成。起电盘上导电膜应采用铝箔和纸箔交替分布；莱顿瓶应采用塑料制成，电容量应</w:t>
            </w:r>
            <w:r>
              <w:rPr>
                <w:rFonts w:hint="eastAsia" w:ascii="微软雅黑" w:hAnsi="微软雅黑" w:eastAsia="微软雅黑" w:cs="微软雅黑"/>
                <w:color w:val="000000"/>
                <w:sz w:val="20"/>
                <w:szCs w:val="20"/>
                <w:lang w:bidi="ar"/>
              </w:rPr>
              <w:t xml:space="preserve">≥30pF，击穿电压应≥42kV；集电杆采用直径不低于4mm的冷拉圆钢制成，电梳应由针状金属杆或束状裸铜线制成，与起电盘距离不应小于6mm；放电杆采用直径为3mm的冷拉圆钢制成，表面镀铬，绝缘手柄长度应≥80mm，体积电阻率≥1016Ω·m；电刷应采用束状磷铜线；导电膜与起电盘的90°剥离强度应≥8N。性能要求：在温度为20℃、相对湿度为65%±5%的环境中，摇柄转速120r/min，火花放电距离应≥55mm；在温度为5℃～30℃范围，相对湿度为85%±5%的条件下，仪器应正常工作，火花放电距离应≥30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201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条形磁铁</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D-CG-LT-180，表面磁感应强度≥0.07T</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对</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202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蹄形磁铁</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D-CG-LU-100，表面磁感应强度≥0.055T</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203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钕铁硼磁钢</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0.38T</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204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翼形磁针</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2支，针体140mm×8mm，座Φ71mm×112mm，磁针体中间铆接铜轴承套，内嵌玻璃轴承，平均磁感应强度≥9mT</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组</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205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菱形小磁针</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16支，磁针28mm×8mm，座Φ25mm×25mm，磁针体中间铆接铜轴承套，内嵌玻璃轴承，平均磁感应强度≥5mT</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组</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206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无色透明塑料外壳，油封铁粉式，仪器尺寸不小于200mm×120mm；环境温度大于10℃时，摇匀铁粉时间每次≤20s</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207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铁粉</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试剂;50g瓶装</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瓶</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208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电磁铁实验器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电磁铁线圈2组、柱形铁芯1个、蹄形铁芯1个、衔铁2个组成，附连接导线3根。能组装成条形电磁铁或蹄形电磁铁，当通过线圈的直流电流为500mA时，产生的吸力应能提起质量≥200g的物体</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209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充磁器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有充磁时间自动控制功能，外壳为非铁磁性材料，线圈轴向长度不小于80mm，能充两极间距大于28mm、磁极截面积小于42mm24mm的U形磁铁以及截面积小于42mm24mm的条形磁铁，电源与线圈骨架以及外壳金属件之间抗电强度3000V</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磁场对电流作用实验器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包括Φ2mm铜棒1根、接线柱、导轨、U形磁铁、底板等，底板有固定磁铁装置，磁铁磁极方向可互换，与滑动变阻器配合使用，动作电流≤2A</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211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电机原理演示器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卧式，包括定子、转子线圈、集流环和换向器、电刷、底座等；定子与转子串励，额定工作电压应为24V；在额定工作电压下连续工作1h，温升应不高于55℃；导体与机座之间的绝缘电阻≥10MΩ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212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电机原理演示器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立式，包括定子、转子线圈、集流环和换向器、电刷、底座和发光二极管等部分；尺寸应不小于300mm×230mm×100mm，额定工作电压8V；用作直流电动机时，起动电压应≤6V，电流应≤0.35A，在额定电压下工作1h温升应不高于55℃；用作直流发电机时，用手（正、反向）转动转子，应能使（正、反向）发光二极管闪亮；用作交流发电机时，用手转动转子，应能使（正、反向）发光二极管交替闪亮；导体与机座之间的绝缘电阻≥10M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213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小型电动机实验器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由定子、转子、电刷、转子支架和底座等组成。直流工作电压1.5V～8V，工作电流0.5A～1A；启动性能：永磁≤3V，励磁并励≤3V，励磁串励≤6V；电枢线圈在任何位置时换向器都不应将两电刷短路</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214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方形线圈</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非金属材料正方形框架；线圈应由直径Φ0.41mmQZ型漆包线绕150匝以上制成，线圈边长为63mm±3mm；线圈引线为截面积为0.20mm2～0.25mm2、长320mm的多股软线，线端接线叉；接线棒由绝缘材料制成，长度150mm～160mm，安装红、黑接插两用接线柱，两接线柱的间距等于线圈宽度；接线棒固定端外径10mm，能固定在方座支架的垂直夹上</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215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电磁感应线圈</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外形尺寸:80*80*15mm，铜丝直径0.4mm重约40克;由单匝线圈及4匝线圈构成，线圈应固定在绝缘板上，绝缘板应能固定在方座支架上带24cm长导线和接线装置。</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216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手摇交直流发电机</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包括定子、转子、整流器、集流环、电刷、灯座（带灯泡）、手摇驱动机构和底板等部分。定子应由永磁体和极靴组成，转子应由转轴、两极电枢铁芯、电枢线圈以及整流器和集流环组成。整流器在任何位置不应将两电刷短路，电刷与整流器和集流环应使用弹性接触，转动灵活。转子转速为1600r/mi空载时，输出端交流和直流电压均应≥8V；接16Ω电阻负载时，输出端交流和直流电压均应≥5V；不带皮带轮用作电动机使用时启动电压应≤4V，电流应≤0.4A</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217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光导纤维应用演示器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包括传光束、传像束、有机玻璃棒、通讯演示器（发射机和接收机）、字母板、放大屏等。视听距离≥6m，传光束长度≥400mm，横截面≥2.55mm，白光透过率≥50%，传像束长度≥350mm，传像工作面积≥100mm。光线丝排列对应整齐，无错位，像元数不低于900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218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单摆</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由摆球（钢球、塑料球）、摆线和单摆夹组成，不少于5个摆球。摆球直径20mm，穿线孔两端直径相同，线长1500mm。单摆夹应由金属材料制成，夹口应为V形，单摆在摆动过程中摆线上的固定点应不变</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219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动能实验演示器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包括2组平行铝合金滑道；直径相同、质量不同的2个金属球，直径相同、质量相同的2个金属球；金属球释放系统；动能大小观察或比较系统。斜面轨道与水平轨道连接要平滑，斜面轨道可调节不少于3组金属球释放的高度，通过机械控制或电子控制保证金属球能同时释放。动能大小观察或比较系统可定性观察同一高度不同质量的小球滚至水平轨道时速度相同，或用光电门等测速装置测出两种情况下速度相同，误差≤1%。动能测量系统带有标尺，能定性观测和比较动能的大小</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220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重力势能实验演示器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直径相同、质量不同的2个金属球，直径相同、质量相同的2个金属球，金属球释放系统，势能大小观察或比较系统，铝合金支架等组成。可调节金属球释放的高度，能够同时测量不少于3组实验数据。通过机械控制或电子控制保证金属球能同时释放，势能大小观测系统带有标尺，能定性观察和比较势能的大小</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221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空气压缩引火仪</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气缸、底座、端盖、活塞等部分组成。气缸用透明有机玻璃制作，内径Φ10mm，外径Φ25mm，长130mm，底座Φ60mm，手柄Φ40mm，活塞杆Φ8mm。活塞体应使用弹性材料制成，活塞与气缸气密性应良好，连续压缩引火100次后密封圈性能不变。应能引燃脱脂棉，不应使用硝化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222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爆燃器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由内部带放电针的缸体、缓冲冠、缸盖和底座组成。缸体应使用无色透明聚丙烯（PP）树脂，缸体容积40mL～50mL，壁厚2mm±0.1mm。缸盖应带有缓冲冠，缸盖与缸体紧密配合，10N≤脱开力≤30N</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223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蒸汽机模型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气源吹动或手动，示结构原理，清晰显示气缸、气路（左、右气道和排气管）、活塞、曲柄、连杆、飞轮（上有平衡块）、手柄、气室、换向阀（滑动阀）等部件，应有调速机构。气缸应采用无色、透明的非脆性塑料，尺寸≥380mm×140mm×220mm。气室进气口直径应为大端外径31mm±1mm，小端外径30mm±1mm，长度36mm±2mm。配套小型气源，气压为5.8kPa±0.3kPa</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224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汽油机模型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四冲程，单缸，示结构原理。由进气管、进气阀、排气管、排气阀、气缸、活塞、连杆、曲轴、火花塞、齿轮凸轮总成、飞轮、挺杆等组成。手动转动，活塞运动压缩比6:1～8:1，整体高不小于300mm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225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柴油机模型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四冲程，单缸，示结构原理。由进气管、进气阀、排气管、排气阀、气缸、活塞、连杆、曲轴、喷油嘴、齿轮凸轮总成、飞轮、挺杆组成。手动转动，活塞运动压缩比14∶1～16∶1，整体高不小于300mm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226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灵敏电流计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300μA，G0档表头内阻80Ω～125Ω，G1档表头内阻2400Ω～3000Ω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电池盒</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R20（1＃）电池用，有接线柱，负极可用弹簧或弹性磷铜片，有串联接插口，电池装反时不能接通</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228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干电池</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R20，无汞</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229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电珠(小灯泡)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1.5V、0.3A</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230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电珠(小灯泡)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2.5V、0.3A</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231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电珠(小灯泡)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3.8V、0.3A</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232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电珠(小灯泡)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6V、0.15A</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233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单刀开关</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最高工作电压36V，额定工作电流6A。开关闸刀、接线柱、垫片均为铜质。闸刀宽度≥7mm，闸刀厚度≥0.7mm。接线柱直径为4mm，有效行程≥4mm。通额定电流，导电部分允许温升≤35℃，操作手柄允许温升≤25℃。开关的绝缘强度应能承受1200V。在额定直流电流工作条件下，接线两端直流电压降≤100mV</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234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单刀双掷开关</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最高工作电压36V，额定工作电流6A。开关闸刀、接线柱、垫片均为铜质。闸刀宽度≥7mm，闸刀厚度≥0.7mm。接线柱直径为4mm，有效行程≥4mm。通额定电流，导电部分允许温升≤35℃，操作手柄允许温升≤25℃。开关的绝缘强度应能承受1200V。在额定直流电流工作条件下，接线两端直流电压降≤100mV</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5Ω，3A误差应&lt;±10%；滑杆应采用正六边形、正四边形或正三角形截面，不应采用圆形截面；电阻丝采用康铜丝，接线柱应有防松动装置；额定电流工作30min温升≤300℃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236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20Ω，2A误差应&lt;±10%；滑杆应采用正六边形、正四边形或正三角形截面，不应采用圆形截面；电阻丝采用康铜丝，接线柱应有防松动装置；额定电流工作30min温升≤300℃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237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50Ω，1.5A误差应&lt;±10%；滑杆应采用正六边形、正四边形或正三角形截面，不应采用圆形截面；电阻丝采用康铜丝，接线柱应有防松动装置；额定电流工作30min温升≤300℃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238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教学电阻箱</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十进多盘式，调解范围0Ω～9999.9Ω，残余电阻及其允差值25mΩ±10mΩ，功率1W</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239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学生电阻箱</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十进多盘式，调解范围0～9999Ω，残余电阻及其允差值20mΩ±10mΩ，功率1W</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240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接线夹导线</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长度分别为200mm、300mm、400mm；单芯4mm纯铜接线夹，纯铜导线；宜用不同线色</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241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接线叉导线</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长度分别为200mm、300mm、400mm；单芯4mm纯铜接线叉，接线叉开口5.9mm，纯铜导线；宜用不同线色</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242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组合接头导线</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长度分别为200mm、300mm、400mm；一头为单芯4mm纯铜接线叉，一头为接线夹，接线叉开口5.9mm，纯铜导线；宜用不同线色</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243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焦耳定律演示器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液体式，同一产品上数字温度计误差不大于±0.5℃，透明贮液筒不少于3个，底座不少于3个，电阻圈不少于3个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7061" w:type="dxa"/>
            <w:vAlign w:val="center"/>
            <w:textDirection w:val="lrTb"/>
            <w:noWrap w:val="false"/>
          </w:tcPr>
          <w:p>
            <w:pPr>
              <w:jc w:val="center"/>
              <w:spacing w:line="300" w:lineRule="exac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eastAsia="zh-CN" w:bidi="ar"/>
              </w:rPr>
              <w:t xml:space="preserve">珠江路实验学校</w:t>
            </w:r>
            <w:r>
              <w:rPr>
                <w:rFonts w:hint="eastAsia" w:ascii="微软雅黑" w:hAnsi="微软雅黑" w:eastAsia="微软雅黑" w:cs="微软雅黑"/>
                <w:b/>
                <w:bCs/>
                <w:color w:val="000000"/>
                <w:sz w:val="20"/>
                <w:szCs w:val="20"/>
                <w:lang w:bidi="ar"/>
              </w:rPr>
              <w:t xml:space="preserve">化学仪器配置清单</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244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初中化学3D实验室软件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1、软件要求提供的资源数量不少于450个。要求所有实验支持在任意视角下对实验进行观察和交互式操作。要求所有实验中的模型为3D高精度模型，支持无极放大，实验模型高保真。</w:t>
            </w:r>
            <w:r/>
          </w:p>
          <w:p>
            <w:pPr>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2、软件要求提供与国家课程标准中知识点同步的实验，完整实验数量不少于80个。支持在实验目录页即可直接查看具体的实验内容简介，方便老师在使用中快速了解具体实验内容，提高老师课堂教学效率。</w:t>
            </w:r>
            <w:r/>
          </w:p>
          <w:p>
            <w:pPr>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3、软件要求学科实验内容模块需根据知识点分类，其中包括化学实验、化学计算、身边的化学物质、化学与社会发展、化学基本概念与原理等实验内容与实验场景</w:t>
            </w:r>
            <w:r/>
          </w:p>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4、软件要求支持画笔功能，能够在实验操作界面添加标注、进行重点区域圈划等，画笔笔迹支持撤销、删除，便于老师在实验讲解过程中进行重难点圈注。</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245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架盘天平</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（一）适用范围、规格：</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1.中学化学实验学生称量用。</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2.规格：100g、0.1g,所配砝码为6级（M2级）。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（二）技术要求：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1.外形尺寸：210mm×84mm×135mm。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2.托盘直径84mm。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3.双托盘、单杠等臂式，横梁上有刻度标尺，标尺上有游码。</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4.最大称量100g，刻度尺最大称量5g。</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5.最小分度值0.1g。</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6.最大称量时感量0.1g。</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246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架盘天平</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一、适用范围、规格：</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1、中学实验教学称量用。</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2、规格：500g、0.5g,所配砝码为6级（M2级）。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二、技术要求：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1、外形尺寸：300㎜×120㎜×175mm,托盘直径120mm。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2、双托盘、单杠等臂式、横梁上装有刻度尺。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3、最大称量500克，刻度尺最大称量10克。</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4、最小分度值0.5克。</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5、最大称量时感量为0.5克。</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6、配6级砝码及镊子一套。</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247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红液温度计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0℃～100℃，分度值1℃，示值误差＜1.5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248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水银温度计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℃0℃～200℃，分度值1℃，示值误差＜0.5℃，有保护套</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249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酸度计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笔式，pH测量范围0～14，分辨力0.1，读数清晰，有自动关机节电模式，配校准试剂</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10mL透明钠钙玻璃制，分度线、数字和标志应完整、清晰和耐久，容积为20℃时充满量筒刻度线所容纳体积</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25mL透明钠钙玻璃制，分度线、数字和标志应完整、清晰和耐久，容积为20℃时充满量筒刻度线所容纳体积</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50mL透明钠钙玻璃制，分度线、数字和标志应完整、清晰和耐久，容积为20℃时充满量筒刻度线所容纳体积</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100ml透明钠钙玻璃制，分度线、数字和标志应完整、清晰和耐久，容积为20℃时充满量筒刻度线所容纳体积</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500mL透明钠钙玻璃制，分度线、数字和标志应完整、清晰和耐久，容积为20℃时充满量筒刻度线所容纳体积</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Φ12mm×70mm透明硼硅酸盐玻璃制</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Φ15mm×150mm透明硼硅酸盐玻璃制</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240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Φ18mm×180mm透明硼硅酸盐玻璃制</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Φ20mm×200mm透明硼硅酸盐玻璃制</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试管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Φ32mm×200mm透明硼硅酸盐玻璃制</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口部具支试管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Φ20mm×200mm透明硼硅酸盐玻璃制，管底厚薄应均匀，支管连接应平滑牢固，不应有偏歪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Φ15mm×150mm透明硼硅酸盐玻璃制，耐热温度≥800℃，试管两端口部应卷口</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262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Φ20mm×250mm透明硼硅酸盐玻璃制，耐热温度≥800℃，试管两端口部应卷口</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263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10mL透明硼硅酸盐玻璃制，烧杯的满口容量应超过标称容量的10%或烧杯的满口容量和标称容量的两液面间距不应少于10mm，并应采用容量差值较大的一种</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264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烧杯</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1000mL透明硼硅酸盐玻璃制，烧杯的满口容量应超过标称容量的10%或烧杯的满口容量和标称容量的两液面间距不应少于10mm，并应采用容量差值较大的一种</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265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烧瓶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250mL，圆底透明硼硅酸盐玻璃制，玻璃薄厚均匀，底部应规整</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266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500mL透明钠钙玻璃制，瓶塞与瓶口紧实，不晃动；口部应圆整光滑，底部应平整，放置平台上不应摇晃或转动</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267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细口瓶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1000mL透明钠钙玻璃制，瓶塞与瓶口紧实，不晃动；口部应圆整光滑，底部应平整，放置平台上不应摇晃或转动</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268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50mL，锥型瓶塞应有凹槽，瓶口有气孔</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269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坩埚</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瓷制，30mL，耐热≥1200℃，内外壁光滑，外壁涂釉，配有坩埚盖</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270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三通连接管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T形Φ7mm～8mm，连接完好，管口应作打磨或烧结处理</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271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三通连接管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Y形Φ7mm～8mm，连接完好，管口应作打磨或烧结处理</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272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145mm，单球硼硅酸盐玻璃制，玻璃壁厚度适中，球体圆润，导气管长度≥2cm，最好有防滑脱沟槽</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273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干燥管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Φ15mm×150mm，U型硼硅酸盐玻璃制，玻璃壁厚度适中，球体圆润，导气管长度≥2cm，最好有防滑脱沟槽</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274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试管刷</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Φ18mm手持部分顶端应为环状，顶部要有刷丝，铁丝不可外露</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275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试管刷</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Φ32mm手持部分顶端应为环状，顶部要有刷丝，铁丝不可外露</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276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蒸发皿</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100mm瓷制，耐受温度≥800℃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277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蒸发皿</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120mm瓷制，耐受温度≥800℃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278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升降台</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上下台面为不锈钢材质，100mm×100mm，台面升降范围50mm～150mm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279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pH广泛试纸</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本</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定性滤纸</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快速，15cm，100张</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盒</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球棍式或比例式；Φ40mm塑料球：碳原子（黑色）4个，氧原子（红色）13个，氮原子（深蓝色）2个，硫原子（黄色）2个；Φ30mm塑料球：氢原子（白色）12个能够完成水、氢气、氧气、二氧化碳等分子模型的搭建</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282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球棍式或比例式；Φ25mm塑料球：碳原子（黑色）4个，氧原子（红色）13个，氮原子（深蓝色）2个，硫原子（黄色）2个；Φ17mm塑料球：氢原子（白色）12个能够完成水、氢气、氧气、二氧化碳等分子模型的搭建</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283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不少于10种，材料新颖，标识清楚，固定结实，不易脱落</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盒</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284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标本盒体积≥190mm×130mm×25mm，包括氧化铝陶瓷、氮化硅陶瓷、光导纤维等，材料新颖，标识清楚，固定结实，不易脱落。陶瓷和玻璃切割整齐，美观</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盒</w:t>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7061" w:type="dxa"/>
            <w:vAlign w:val="center"/>
            <w:textDirection w:val="lrTb"/>
            <w:noWrap w:val="false"/>
          </w:tcPr>
          <w:p>
            <w:pPr>
              <w:jc w:val="center"/>
              <w:spacing w:line="300" w:lineRule="exac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eastAsia="zh-CN" w:bidi="ar"/>
              </w:rPr>
              <w:t xml:space="preserve">珠江路实验学校</w:t>
            </w:r>
            <w:r>
              <w:rPr>
                <w:rFonts w:hint="eastAsia" w:ascii="微软雅黑" w:hAnsi="微软雅黑" w:eastAsia="微软雅黑" w:cs="微软雅黑"/>
                <w:b/>
                <w:bCs/>
                <w:color w:val="000000"/>
                <w:sz w:val="20"/>
                <w:szCs w:val="20"/>
                <w:lang w:bidi="ar"/>
              </w:rPr>
              <w:t xml:space="preserve">生物仪器配置清单</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285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初中生物3D实验室软件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1、软件要求提供的资源数量不少于500个。要求所有实验支持在任意视角下对实验进行观察和交互式操作。要求所有实验中的模型为3D高精度模型，支持无极放大，实验模型高保真。</w:t>
            </w:r>
            <w:r/>
          </w:p>
          <w:p>
            <w:pPr>
              <w:spacing w:line="300" w:lineRule="exact"/>
              <w:widowControl/>
              <w:rPr>
                <w:rFonts w:hint="eastAsia" w:ascii="微软雅黑" w:hAnsi="微软雅黑" w:eastAsia="微软雅黑" w:cs="微软雅黑"/>
                <w:color w:val="000000"/>
                <w:sz w:val="20"/>
                <w:szCs w:val="20"/>
                <w:lang w:bidi="ar"/>
              </w:rPr>
            </w:pPr>
            <w:r>
              <w:rPr>
                <w:rFonts w:hint="eastAsia" w:ascii="微软雅黑" w:hAnsi="微软雅黑" w:eastAsia="微软雅黑" w:cs="微软雅黑"/>
                <w:color w:val="000000"/>
                <w:sz w:val="20"/>
                <w:szCs w:val="20"/>
                <w:lang w:bidi="ar"/>
              </w:rPr>
              <w:t xml:space="preserve">2、软件要求提供与国家课程标准中知识点同步的实验，完整实验数量不少于60个。支持在实验目录页即可直接查看具体的实验内容简介，方便老师在使用中快速了解具体实验内容，提高老师课堂教学效率。</w:t>
            </w:r>
            <w:r/>
          </w:p>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软件提供实验截屏和微视频录制功能，支持用户在实验过程中，根据教学需求自由选择功能存储。软件要求支持画笔功能，能够在实验操作界面添加标注、进行重点区域圈划等，画笔笔迹支持撤销、删除，便于老师在实验讲解过程中进行重难点圈注。</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286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灭火毯</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玻璃纤维材质，1200mm×1800mm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件</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287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实验服</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可分为大中小号</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件</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288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仪器车</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600mm×400mm×800mm，不锈钢材质，至少两层，各层带可拆卸护栏，总载重≥60kg</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辆</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289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木制，配有提手，420mm×280mm×380mm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290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架盘天平</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200g，0.2g单杠杆等臂式双盘天平，配6级（M2级）砝码：100g、50g、10g、5g各1个，20g2个，钢制镊子。</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291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采用高精度应变式传感器，LCD背光显示，交直流两用，单位转换、计数、全量程去皮等功能，性能可靠、稳定。最大称量:400g最小分度值:0.1g校准方式:外校去皮范围:0-400g称盘尺寸:中120mm天平外形尺寸:218*150*50mm交流使用随机交直流适配器，直流使用4节1.5V5号干电池。</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292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采用高精度应变式传感器，LCD背光显示，交直流两用，单位转换、计数、全量程去皮等功能，性能可靠、稳定。最大称量:1000g最小分度值:0.1g校准方式:外校去皮范围:0-1000g称盘尺寸:中120mm天平外形尺寸:218*150*50mm交流使用随机交直流适配器，直流使用4节1.5V5号干电池。</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293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电子秒表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专用型，全时段分辨力0.01s；有防震、防水功能，电池更换周期≥1.5年</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294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红液温度计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0℃～100℃，分度值1℃，示值误差</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295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干湿球温度计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-25℃～50℃，分度值0.2℃；测量湿度</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0%～100%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296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手术刀柄</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3号刀柄，长12.5cm，不锈钢材质，刀柄外形轮廓应清晰，刀柄与手术刀片配合时，插卸应轻松。</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把</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297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手术刀片</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刀身长50mm，刃长约29mm,不锈钢材质，刀片应平整，刃口应锋利，5片/包。</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包</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298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双面刀片</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刀片尺寸40mmx25mm，6片/包。</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包</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299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量筒</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500ml、高硼硅玻璃制造、铜红扩散印线，全高350±10mm,筒身壁厚&gt;1.2mm，最小分度值5ml，容量误差±2.5ml,玻璃仪器总体要求：无内应力。</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容量瓶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透明钠钙玻璃制，单标线，标称容量500ml，其耐水等级≦3级，玻璃仪器总体要求：无内应力，</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30mL透明钠钙玻璃制，瓶口细磨，磨砂面应均匀细腻，滴管应附橡胶帽，吸放弹性好，开口直径6mm，与滴管口套合牢固稳定</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滴瓶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60mL透明钠钙玻璃制，瓶口细磨，磨砂面应均匀细腻，滴管应附橡胶帽，吸放弹性好，开口直径6mm，与滴管口套合牢固稳定</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茶色滴瓶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30mL黄棕色钠钙玻璃制，瓶口细磨，磨砂面应均匀细腻，滴管应附橡胶帽，吸放弹性好，开口直径6mm，与滴管口套合牢固稳定</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茶色滴瓶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60mL黄棕色钠钙玻璃制，瓶口细磨，磨砂面应均匀细腻，滴管应附橡胶帽，吸放弹性好，开口直径6mm，与滴管口套合牢固稳定</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漏斗</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采用透明钠钙玻璃制造，斗外径60±2mm，斗茎外径7-8mm，壁厚1-1.5mm，斗径长60±5mm，滤碗壁厚1-2.5mm,滤碗锥度与相应滤纸锥度相符，符合QB/T2560-2002《实验室玻璃仪器过滤漏斗》的有关规定。</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三通连接管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Y形，Φ7mm～Φ8mm，连接完好，管口应作打磨或烧结处理</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滴管</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100mm，直形，滴管尖嘴口径1mm，上端有防滑脱翻口，翻口处直径比滴管直径略多1mm～2mm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支</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玻璃棒</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Φ3mm～Φ4mm，粗细均匀</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kg</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309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标记笔</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双头，油性墨水</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310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ABO 血型鉴定实验盒</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包含4种模拟血液样品（A型、B型、AB型、O型），2种模拟抗体（抗A和抗B），反应卡，塑料签，吸水纸</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盒</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311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氯化钠</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试剂</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g</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312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生物显微镜（智能数码显微镜）</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1、观察头：铰链式三目观察筒，瞳距调节范围50-75mm。零视度时，左右系统的目镜端面位置差≤0.08mm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2、目镜：带视度补偿，大视场高眼点目镜PL10X，视场18mm。目镜放大率准确度≤±0.43%，双目系统左右视场中心偏差：上下≤0.03mm，左右内侧≤0.02mm，双目系统左右光轴平行度：水平发散≤8，垂直交叉≤6。</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摄像系统：内置数码一体化2000万像素无线数码芯片，支持5GWi-Fi，RJ45网口，预览分辨率1080P，超低延迟（200MS），1080P实时预览最大帧率25FPS，支持远程全分辨率拍照，支持Hotspot/Client模式切换，支持多人共揽，摄影摄像视场清晰范围≥92%，目镜观察与显示屏观察时图像齐焦≤0.013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物镜：平场消色差物镜4倍，成像清晰圆直径≥18.5mm,；10倍，成像清晰圆直径≥18.4mm，10倍物镜景深范围内像面的偏摆≤0.01mm；40倍（弹簧）成像清晰圆直径≥18.5mm。100倍（弹簧、油）成像清晰圆直径≥18.3mm，物镜放大率准确度≤±0.5%</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5、转换器：四孔物镜转换器，转换器稳定性≤0.002mm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移动平台：复合式机械移动载物台140×132mm，低手位同轴调节。带限位装置，具有切片保护功能。移动范围76mm（X）×50（Y）mm，读数0.1mm，载物台侧向受5N水平方向作用力最大位移≤0.012，不重复性≤0.002.用机械使标本在5mmX5mm范围内移动时离焦量≤0.004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7、聚光镜：阿贝式聚光镜N.A1.25（带光栏），粗微调同轴调节，粗调行程≥25mm微调最小读数值0.002mm，微调空回≤0.003mm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8、电源：宽电压超高亮度3WLED光源，寿命长、功耗小、热量低、亮度强、色温高、操作安全；照明系统与观察系统光轴应一致，照明均匀，无一边亮一边暗现象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9、重要技术性能：</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(1)4倍物镜成像清晰圆直径≥18.5mm、10倍物镜成像清晰圆直径≥18.4mm、40倍物镜成像清晰圆直径≥18.5mm、100倍物镜成像清晰圆直径≥18.3mm。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(2)10倍物镜景深范围内像面的偏摆≤0.01mm,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(3)显微镜目镜放大率准确度≤0.42%。</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(4)显微镜物镜放大准确率≤±0.5%</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(5)微调机构空回≤0.003mm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(6)转换器稳定性≤0.002mm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(7)双目系统左右视场像面中心偏差：上下≤0.03mm，左右内侧≤0.02mm，双目系统左右光轴平行度：水平发散≤8，垂直交叉≤6。</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(8)摄影摄像视场清晰范围≥92%，目镜观察与显示屏观察时图像齐焦≤0.013mm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(9)载物台侧向受5N水平方向作用力最大位移≤0.01mm、不重复性≤0.02mm.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(10)用机械使标本在5mmX5mm范围内移动时的离焦量≤0.004mm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10、智能终端：≥10英寸平板，6GB+128GB，WIFI版，分辨率：1920X1200，后置摄像系统≥500万像素，支持各种移动终端设备。</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11、终端可兼容任何操作系统电脑或平板电脑、平板既可放在/固定显微镜上、又可放在显微镜旁观察，纯无线/wifi输出，输出帧率25FPS以上，无卡顿拖尾现象。</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313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根纵剖模型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应以单子叶植物玉米的根尖为参考材料，示根尖的解剖结构，根尖中部做不同方向的纵剖面，突出维管柱，示根冠、分生区、伸长区、成熟区和原形成层等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件</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314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植物光合作用、呼吸作用、蒸腾作用演示器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由透明的有机透明容器，漏斗、上盖板、试管及试管架组合而成</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315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肺泡模型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应正确显示细支气管、呼吸性细支气管、肺泡管、肺泡囊、肺泡、肺泡隔、肺动脉、肺静脉、肺泡毛细血管网、支气管动脉、支气管静脉、平滑肌、弹性纤维等结构特征</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件</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316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人体呼吸运动模型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电动式，通过胸骨、肋、肺、气管、膈等模型部件，结合动力驱动组成呼吸运动模型的运行系统，应能模拟人体呼吸运动过程</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件</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317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膈肌运动模拟器</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高度250mm±15mm，宽度或直径220mm±15mm，膈的直径（或长径）≥170mm；应模拟显示胸腔、膈、气管、支气管、肺（或肺泡）等结构</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件</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318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心脏解剖模型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三倍自然大，示上腔静脉、下腔静脉、主动脉、肺动脉、动脉韧带、左冠状动脉、右冠状动脉、冠状窦，左心房、右心房、左心室、右心室、二尖瓣、三尖瓣、主动脉瓣、肺动脉瓣、卵圆窝、冠状窦口</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件</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319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男性泌尿生殖系统模型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自然大，结构清晰，位置精准，比例适宜</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件</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320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女性泌尿生殖系统模型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自然大，结构清晰，位置精准，比例适宜</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件</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321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肾单位、肾小体模型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肾单位模型≥400mm×240mm，示肾小体、肾小管和集合管等；肾小体模型直径≥100mm，半剖，示肾小球、肾小囊、入球小动脉和出球小动脉等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件</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322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尿的形成动态模型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应清晰显示1个肾单位和集合管，以及小叶间动脉、小叶间静脉和包绕在肾小管周围的球后毛细血管网等组成的模式结构，能动态显示滤过和重吸收的过程</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件</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323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人体骨骼模型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850mm，各部分骨的形态特征，应正确清晰，富有真实感，骨缝应清楚，骨性鼻腔，眶及所有孔，管、沟、裂显示应正确自然</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件</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324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兔外形标本</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成体自然大，约20x20cm。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件</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325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蛔虫标本</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雌、雄各一条，浸制c或包埋</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瓶/块</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326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蚯蚓横切</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应能看清表皮、肌层、体腔等结构</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片</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327</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蚯蚓解剖模型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一半完整，可见环带；另一半剖面，示消化系统、循环系统、神经系统</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件</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328</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细菌模型</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示细菌的横截面，鞭毛、包涵体、质粒和染色体的典型构造</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件</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329</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酸奶机</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全自动，304不锈钢或食品级塑料内胆</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330</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果酒果醋发酵装置</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透明，最大容积1L，采用安全、环保材质，具水封及气泡限速装置</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个</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331</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培训</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提供珠江路实验学校所有物、化、生实验室设备的使用和维护（免费）培训，一年一次，合计三次；</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项</w:t>
            </w:r>
            <w:r/>
          </w:p>
        </w:tc>
      </w:tr>
      <w:tr>
        <w:trPr>
          <w:trHeight w:val="240"/>
        </w:trPr>
        <w:tc>
          <w:tcPr>
            <w:gridSpan w:val="3"/>
            <w:tcBorders>
              <w:top w:val="single" w:color="000000" w:sz="4" w:space="0"/>
              <w:left w:val="single" w:color="000000" w:sz="4" w:space="0"/>
              <w:bottom w:val="single" w:color="000000" w:sz="4" w:space="0"/>
              <w:right w:val="single" w:color="000000" w:sz="4" w:space="0"/>
            </w:tcBorders>
            <w:tcW w:w="7061" w:type="dxa"/>
            <w:vAlign w:val="center"/>
            <w:textDirection w:val="lrTb"/>
            <w:noWrap w:val="false"/>
          </w:tcPr>
          <w:p>
            <w:pPr>
              <w:jc w:val="center"/>
              <w:spacing w:line="300" w:lineRule="exact"/>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向阳中学原化学吊装实验室电路改造</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rPr>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332</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1、从教室电源控制箱引国标BV（4mm²*4+2.5mm²*1）电线至讲台下，出地面1.2米；从配电箱布线国标BV（2.5mm²*4）至顶部吊顶内，用作吊装设备及照明电源线，辅材自备。预留交换机插座（五孔）                                                                              2、从讲台处敷设电线国标BV（2.5mm²*3）至每个学生位，分4路控制，讲台处出地面2米，学生处出地面1.2米；28个点位。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3、瓷砖地面开槽，布PVC管穿电线，PVC管出地面150mm，管线布完后水泥砂浆填实，并用不小于1.5mm厚的不锈钢U字型槽板覆盖，槽板和地面齐平。开槽尺寸约为：宽30mm*深25mm。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4、学生处加装五孔插座1只，用于考试系统取电；插座需固定在功能柱上。</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5、电源控制箱内更换一只带漏保的40A空开。</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6、电源改造按学校要求及国家规范施工，确保美观规范。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7、按学校要求及国家规范施工，确保美观规范。</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8、从讲台处敷设网线至学生位，六类网线，六类水晶头，两头打标，讲台处出地面2米，学生处出地面1.5米，28个点位。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9、瓷砖地面开槽，布PVC管穿电线，PVC管出地面150mm，管线布完后水泥砂浆填实，并用不小于1.5mm厚的不锈钢U字型槽板覆盖，槽板和地面齐平。开槽尺寸约为：宽90mm*深25mm。从前排往后宽度递减20mm。</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333</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1、从机房引两路光纤（8芯）进教室讲台处（用一备一），出地面1.5米；（机房距离教室约30米，沿桥架铺设）</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2、从讲台处敷设网线至学生位，六类网线，六类水晶头，两头打标，讲台处出地面2米，学生处出地面1.5米，28个点位。</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3、水磨石地面开槽，不PVC管穿电线，PVC管出地面150mm，管线布完后水泥砂浆填实，并用不小于1.5mm厚的不锈钢U字型槽板覆盖，槽板和地面齐平。开槽尺寸约为：宽90mm*深25mm。从前排往后宽度递减20mm。</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4、加装HDMI线（5米）从讲台下至墙上大屏，讲台处加装1转2分配器。</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5、按学校要求及国家规范施工，确保美观规范。(所有辅材的数量、长度投标人可自愿进行实地勘察)</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334</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地胶</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一、水磨石地面清理，后铺设地胶。</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二、产品规格：总厚度≥4.5mm,耐磨层厚度≥1.2mm,幅宽1.8m;材料为原生料制品，产品结构从上至下依次PVC耐磨层、稳定层、网格布夹带层、发泡层；</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满足地胶技术性能指标要求不低于：</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1、邵氏硬度（邵A）50-90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2、拉伸强度≥2MPa</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3、拉断伸长率≥100%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4、球反弹≥90%</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5、阻燃性Ⅰ级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6、氯乙烯单体，可溶性铅，可溶性镉未检出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7、挥发物≤50g/m2</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8、燃烧性能达到难燃B1级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9、快速变温试验：大于20个循环后，尺寸变化率（横向、纵向）≤0.01%，且样品表面无破损、变形等现象。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10、冷热冲击试验：大于20个循环后，拉伸强度变化率≤1%，尺寸变化率（横向、纵向）≤0.01%，且表面不破损、变形、脆裂等现象。</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11、符合不少于55种邻苯二甲酸酯有害物质未检出</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12、耐化学（清洗剂、矿物油）≥5000h后，外观无明显变化，灰卡4-5级</w:t>
            </w:r>
            <w:r>
              <w:rPr>
                <w:rFonts w:hint="eastAsia" w:ascii="微软雅黑" w:hAnsi="微软雅黑" w:eastAsia="微软雅黑" w:cs="微软雅黑"/>
                <w:color w:val="000000"/>
                <w:sz w:val="20"/>
                <w:szCs w:val="20"/>
                <w:lang w:bidi="ar"/>
              </w:rPr>
              <w:br/>
            </w:r>
            <w:r>
              <w:rPr>
                <w:rFonts w:hint="eastAsia" w:ascii="微软雅黑" w:hAnsi="微软雅黑" w:eastAsia="微软雅黑" w:cs="微软雅黑"/>
                <w:color w:val="000000"/>
                <w:sz w:val="20"/>
                <w:szCs w:val="20"/>
                <w:lang w:bidi="ar"/>
              </w:rPr>
              <w:t xml:space="preserve">  13、耐酸碱（40%氢氧化钠溶液、40%硫酸溶液）≥5000h后，外观无明显变化，灰卡4-5级</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335</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教师演示台实芯理化板台面开直径50mm孔1个,学生桌开直径15mm孔5个。</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r>
        <w:trPr>
          <w:trHeight w:val="240"/>
        </w:trPr>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336</w:t>
            </w:r>
            <w:r/>
          </w:p>
        </w:tc>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4508" w:type="dxa"/>
            <w:vAlign w:val="center"/>
            <w:textDirection w:val="lrTb"/>
            <w:noWrap w:val="false"/>
          </w:tcPr>
          <w:p>
            <w:pPr>
              <w:spacing w:line="300" w:lineRule="exact"/>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教师演示台、学生实验台简单拆装、搬运等。</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widowControl/>
              <w:rPr>
                <w:rFonts w:hint="eastAsia" w:ascii="微软雅黑" w:hAnsi="微软雅黑" w:eastAsia="微软雅黑" w:cs="微软雅黑"/>
                <w:color w:val="000000"/>
                <w:sz w:val="20"/>
                <w:szCs w:val="20"/>
              </w:rPr>
            </w:pPr>
            <w:r>
              <w:rPr>
                <w:rFonts w:hint="eastAsia" w:ascii="微软雅黑" w:hAnsi="微软雅黑" w:eastAsia="微软雅黑" w:cs="微软雅黑"/>
                <w:color w:val="000000"/>
                <w:sz w:val="20"/>
                <w:szCs w:val="20"/>
                <w:lang w:bidi="ar"/>
              </w:rPr>
              <w:t xml:space="preserve">间</w:t>
            </w:r>
            <w:r/>
          </w:p>
        </w:tc>
      </w:tr>
    </w:tbl>
    <w:p>
      <w:pPr>
        <w:pStyle w:val="791"/>
        <w:rPr>
          <w:rFonts w:hint="eastAsia"/>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rPr>
      </w:r>
      <w:r/>
    </w:p>
    <w:p>
      <w:pPr>
        <w:pStyle w:val="791"/>
        <w:ind w:firstLine="0"/>
        <w:rPr>
          <w:rFonts w:hint="eastAsia"/>
        </w:rPr>
      </w:pPr>
      <w:r>
        <w:rPr>
          <w:rFonts w:hint="eastAsia"/>
        </w:rPr>
      </w:r>
      <w:r/>
    </w:p>
    <w:p>
      <w:pPr>
        <w:jc w:val="both"/>
        <w:spacing w:after="0" w:line="360" w:lineRule="auto"/>
        <w:rPr>
          <w:rFonts w:hint="eastAsia" w:ascii="宋体" w:hAnsi="宋体" w:eastAsia="宋体" w:cs="宋体"/>
          <w:b/>
          <w:bCs/>
          <w:color w:val="000000"/>
          <w:sz w:val="24"/>
          <w:lang w:bidi="ar"/>
          <w14:ligatures w14:val="none"/>
        </w:rPr>
      </w:pPr>
      <w:r>
        <w:rPr>
          <w:rFonts w:hint="eastAsia" w:ascii="宋体" w:hAnsi="宋体" w:eastAsia="宋体" w:cs="宋体"/>
          <w:b/>
          <w:bCs/>
          <w:color w:val="000000"/>
          <w:sz w:val="24"/>
          <w:lang w:bidi="ar"/>
          <w14:ligatures w14:val="none"/>
        </w:rPr>
        <w:t xml:space="preserve">本项目对应的中小企业划分行业</w:t>
      </w:r>
      <w:r/>
    </w:p>
    <w:tbl>
      <w:tblPr>
        <w:tblStyle w:val="79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87"/>
        <w:gridCol w:w="5147"/>
        <w:gridCol w:w="2588"/>
      </w:tblGrid>
      <w:tr>
        <w:trPr>
          <w:trHeight w:val="520"/>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微软雅黑" w:hAnsi="微软雅黑" w:eastAsia="微软雅黑" w:cs="微软雅黑"/>
                <w:b/>
                <w:bCs/>
                <w:color w:val="000000"/>
                <w:sz w:val="24"/>
              </w:rPr>
            </w:pPr>
            <w:r>
              <w:rPr>
                <w:rFonts w:hint="eastAsia" w:ascii="微软雅黑" w:hAnsi="微软雅黑" w:eastAsia="微软雅黑" w:cs="微软雅黑"/>
                <w:b/>
                <w:bCs/>
                <w:color w:val="000000"/>
                <w:sz w:val="24"/>
                <w:lang w:bidi="ar"/>
              </w:rPr>
              <w:t xml:space="preserve">中小企业划分行业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采购标的名称</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划分行业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便携式学生实验考评终端</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显微镜</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电子目镜</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多功能实验讲台</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智慧实验升降桌</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48口接入交换机</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汇聚交换（校级）</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汇聚交换（县级）</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校级数据中心</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县级数据中心</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44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实验教学课堂管理软件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软件与信息技术服务业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实验考试学生端软件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软件与信息技术服务业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实验操作考场管理软件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软件与信息技术服务业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AI智能赋分系统</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软件与信息技术服务业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考点管理软件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软件与信息技术服务业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视频与流媒体管理平台软件（学校）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软件与信息技术服务业</w:t>
            </w:r>
            <w:r/>
          </w:p>
        </w:tc>
      </w:tr>
      <w:tr>
        <w:trPr>
          <w:trHeight w:val="33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实验教学管理平台</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软件与信息技术服务业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考场考试技术服务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软件与信息技术服务业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数据管理中心软件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软件与信息技术服务业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实验统考管理平台软件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软件与信息技术服务业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抽签软件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软件与信息技术服务业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视频与流媒体管理平台软件（县级）</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软件与信息技术服务业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实验教学资源库</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软件与信息技术服务业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实验操作考试专网建设</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软件与信息技术服务业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设备集成及考试保障服务等</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软件与信息技术服务业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智能视频存储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硬盘</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桌垫</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移动教考管理终端</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固定教考管理终端</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固态数据存储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服务器机柜（含PDU插座）</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高拍仪</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标签机</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管理中心强弱电线材及安装</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弱电行业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玻璃隔断</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实验室文化布置</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管理中心文化布置</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教育局管理中心其他</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40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电工行业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41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弱电行业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42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地胶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43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44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45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46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47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电工行业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48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弱电行业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49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地胶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50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多功能柱</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51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52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53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电工行业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54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弱电行业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55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地胶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56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57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58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59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电工行业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60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弱电行业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61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地胶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62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63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64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65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电工行业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66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弱电行业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67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68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69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电工行业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70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弱电行业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71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72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73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电工行业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74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弱电行业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75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地胶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76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实验室专用洗眼器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77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78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79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电工行业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80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弱电行业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81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地胶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82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83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84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电工行业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85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弱电行业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86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地胶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87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88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89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药品柜</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90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易燃品储存柜/易制爆储存柜</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91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初中物理3D实验室软件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92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护目镜</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93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简易急救箱</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94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仪器车</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95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提盒</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96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97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整理箱</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98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镊子</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99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水准器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100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工具箱</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101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寒暑表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102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电子体温计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103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红液温度计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104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水银温度计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105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数字温度计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106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数字温度计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107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双金属片温度计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108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红外温度计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109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湿度计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110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漏斗</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111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电子打火枪</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112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教学用远红外加热器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113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烧杯用电加热器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114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烧瓶用电加热器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115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打气筒</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116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脚踏打气筒</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117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两用气筒</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118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酒精</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119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晶体熔化与凝固实验器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120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制作简易温度计实验材料</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121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物质弹性实验材料</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122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物质磁性实验材料</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123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磁悬浮原理实验器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124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物质导电性实验材料</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125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电缆结构与材料套材</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126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人体发电趣味演示仪</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127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物质导热性实验材料</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128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热传导演示器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129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双金属片</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130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架盘天平</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131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架盘天平</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132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物理天平</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133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案秤</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134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圆柱体组</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135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量筒</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136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量筒</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137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量杯</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138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密度计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139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密度计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140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光学显微镜</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141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放大镜</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142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望远镜</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143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分子间作用力模型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144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内聚力演示器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145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布纤维卷尺</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146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数显游标卡尺</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147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外径千分尺(螺旋测微器)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148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数显外径千分尺</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149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激光测距仪</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150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滚轮式测距仪</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151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机械秒表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152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沙漏</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153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日晷</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154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斜面小车</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155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弹弓</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156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改变物体运动状态实验装置</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157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物体受力与运动演示器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158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金属钩码</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159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双锥体上滚演示器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160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摩擦力实验器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161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轴承模型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162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伽利略理想斜面演示器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163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物体浮沉条件演示器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164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伽利略温度计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165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压力和压强演示器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166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压力作用效果演示器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167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透明盛液筒</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168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液体对器壁压强演示器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169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液压机模型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170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马德堡半球</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171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大气压系列实验材料</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172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离心水泵模型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173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抽水机模型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174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流体压强与流速关系演示器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175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流体压强与流速关系演示器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176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流体压强与流速关系演示器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177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飞机升力原理演示器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178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杠杆</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179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演示滑轮组</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180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滑轮组</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181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支杆定滑轮组</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182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轮轴模型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183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音叉</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184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音叉</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185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旋片真空泵</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186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纸盆扬声器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187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声级计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188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初中声学实验箱</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189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平行光源</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190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三球仪</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191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透明水槽</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192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透明水槽</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193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凸透镜</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194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眼球仪</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195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白光的色散与合成演示器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196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紫外线作用演示器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197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红外线热效应演示器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198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光具盘</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199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初中光学实验箱</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200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感应起电机</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201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条形磁铁</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202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蹄形磁铁</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203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钕铁硼磁钢</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204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翼形磁针</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205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菱形小磁针</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206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磁感线演示器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207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铁粉</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208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电磁铁实验器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209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充磁器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210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磁场对电流作用实验器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211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电机原理演示器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212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电机原理演示器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213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小型电动机实验器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214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方形线圈</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215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电磁感应线圈</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216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手摇交直流发电机</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217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光导纤维应用演示器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218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单摆</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219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动能实验演示器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220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重力势能实验演示器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221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空气压缩引火仪</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222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爆燃器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223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蒸汽机模型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224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汽油机模型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225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柴油机模型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226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灵敏电流计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227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电池盒</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228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干电池</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229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电珠(小灯泡)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230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电珠(小灯泡)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231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电珠(小灯泡)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232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电珠(小灯泡)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233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单刀开关</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234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单刀双掷开关</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235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236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237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滑动变阻器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238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教学电阻箱</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239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学生电阻箱</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240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接线夹导线</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241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接线叉导线</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242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组合接头导线</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243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焦耳定律演示器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244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初中化学3D实验室软件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245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架盘天平</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246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架盘天平</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247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红液温度计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248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水银温度计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249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酸度计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250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量筒</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251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量筒</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252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量筒</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253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量筒</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254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量筒</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255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试管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256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试管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257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试管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258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试管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259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试管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260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口部具支试管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261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262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硬质玻璃管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263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烧杯</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264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烧杯</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265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烧瓶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266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细口瓶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267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细口瓶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268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分液漏斗</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269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坩埚</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270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三通连接管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271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三通连接管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272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干燥管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273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干燥管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274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试管刷</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275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试管刷</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276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蒸发皿</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277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蒸发皿</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278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升降台</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279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pH广泛试纸</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280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定性滤纸</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281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282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分子结构模型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283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合成有机高分子材料标本</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284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新型无机非金属材料标本</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285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初中生物3D实验室软件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286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灭火毯</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287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实验服</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288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仪器车</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289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实验用品提篮</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290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架盘天平</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291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292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电子天平</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293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电子秒表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294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红液温度计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295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干湿球温度计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296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手术刀柄</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297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手术刀片</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298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双面刀片</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299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量筒</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300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容量瓶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301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滴瓶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302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滴瓶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303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茶色滴瓶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304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茶色滴瓶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305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漏斗</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306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三通连接管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307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滴管</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308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玻璃棒</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309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标记笔</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310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ABO 血型鉴定实验盒</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311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氯化钠</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312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生物显微镜（智能数码显微镜）</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313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根纵剖模型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314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植物光合作用、呼吸作用、蒸腾作用演示器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315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肺泡模型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316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人体呼吸运动模型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317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膈肌运动模拟器</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318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心脏解剖模型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319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男性泌尿生殖系统模型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320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女性泌尿生殖系统模型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321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肾单位、肾小体模型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322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尿的形成动态模型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323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人体骨骼模型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324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兔外形标本</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325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蛔虫标本</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326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蚯蚓横切</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327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蚯蚓解剖模型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328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细菌模型</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329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酸奶机</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330</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果酒果醋发酵装置</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331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培训</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服务业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332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ff0000"/>
                <w:sz w:val="18"/>
                <w:szCs w:val="18"/>
                <w:lang w:bidi="ar"/>
              </w:rPr>
            </w:pPr>
            <w:r>
              <w:rPr>
                <w:rFonts w:hint="eastAsia" w:ascii="微软雅黑" w:hAnsi="微软雅黑" w:eastAsia="微软雅黑" w:cs="微软雅黑"/>
                <w:color w:val="ff0000"/>
                <w:sz w:val="18"/>
                <w:szCs w:val="18"/>
                <w:lang w:bidi="ar"/>
              </w:rPr>
              <w:t xml:space="preserve">室内外电路改造</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ff0000"/>
                <w:sz w:val="18"/>
                <w:szCs w:val="18"/>
                <w:lang w:bidi="ar"/>
              </w:rPr>
            </w:pPr>
            <w:r>
              <w:rPr>
                <w:rFonts w:hint="eastAsia" w:ascii="微软雅黑" w:hAnsi="微软雅黑" w:eastAsia="微软雅黑" w:cs="微软雅黑"/>
                <w:color w:val="ff0000"/>
                <w:sz w:val="18"/>
                <w:szCs w:val="18"/>
                <w:lang w:bidi="ar"/>
              </w:rPr>
              <w:t xml:space="preserve">电工行业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333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ff0000"/>
                <w:sz w:val="18"/>
                <w:szCs w:val="18"/>
                <w:lang w:bidi="ar"/>
              </w:rPr>
            </w:pPr>
            <w:r>
              <w:rPr>
                <w:rFonts w:hint="eastAsia" w:ascii="微软雅黑" w:hAnsi="微软雅黑" w:eastAsia="微软雅黑" w:cs="微软雅黑"/>
                <w:color w:val="ff0000"/>
                <w:sz w:val="18"/>
                <w:szCs w:val="18"/>
                <w:lang w:bidi="ar"/>
              </w:rPr>
              <w:t xml:space="preserve">考评系统网络布线</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ff0000"/>
                <w:sz w:val="18"/>
                <w:szCs w:val="18"/>
                <w:lang w:bidi="ar"/>
              </w:rPr>
            </w:pPr>
            <w:r>
              <w:rPr>
                <w:rFonts w:hint="eastAsia" w:ascii="微软雅黑" w:hAnsi="微软雅黑" w:eastAsia="微软雅黑" w:cs="微软雅黑"/>
                <w:color w:val="ff0000"/>
                <w:sz w:val="18"/>
                <w:szCs w:val="18"/>
                <w:lang w:bidi="ar"/>
              </w:rPr>
              <w:t xml:space="preserve">弱电行业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334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sz w:val="18"/>
                <w:szCs w:val="18"/>
                <w:lang w:bidi="ar"/>
              </w:rPr>
            </w:pPr>
            <w:r>
              <w:rPr>
                <w:rFonts w:hint="eastAsia" w:ascii="微软雅黑" w:hAnsi="微软雅黑" w:eastAsia="微软雅黑" w:cs="微软雅黑"/>
                <w:sz w:val="18"/>
                <w:szCs w:val="18"/>
                <w:lang w:bidi="ar"/>
              </w:rPr>
              <w:t xml:space="preserve">地胶</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sz w:val="18"/>
                <w:szCs w:val="18"/>
                <w:lang w:bidi="ar"/>
              </w:rPr>
            </w:pPr>
            <w:r>
              <w:rPr>
                <w:rFonts w:hint="eastAsia" w:ascii="微软雅黑" w:hAnsi="微软雅黑" w:eastAsia="微软雅黑" w:cs="微软雅黑"/>
                <w:sz w:val="18"/>
                <w:szCs w:val="18"/>
                <w:lang w:bidi="ar"/>
              </w:rPr>
              <w:t xml:space="preserve">工业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335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ff0000"/>
                <w:sz w:val="18"/>
                <w:szCs w:val="18"/>
                <w:lang w:bidi="ar"/>
              </w:rPr>
            </w:pPr>
            <w:r>
              <w:rPr>
                <w:rFonts w:hint="eastAsia" w:ascii="微软雅黑" w:hAnsi="微软雅黑" w:eastAsia="微软雅黑" w:cs="微软雅黑"/>
                <w:color w:val="ff0000"/>
                <w:sz w:val="18"/>
                <w:szCs w:val="18"/>
                <w:lang w:bidi="ar"/>
              </w:rPr>
              <w:t xml:space="preserve">台面开孔</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ff0000"/>
                <w:sz w:val="18"/>
                <w:szCs w:val="18"/>
                <w:lang w:bidi="ar"/>
              </w:rPr>
            </w:pPr>
            <w:r>
              <w:rPr>
                <w:rFonts w:hint="eastAsia" w:ascii="微软雅黑" w:hAnsi="微软雅黑" w:eastAsia="微软雅黑" w:cs="微软雅黑"/>
                <w:color w:val="ff0000"/>
                <w:sz w:val="18"/>
                <w:szCs w:val="18"/>
                <w:lang w:bidi="ar"/>
              </w:rPr>
              <w:t xml:space="preserve">建筑装饰业</w:t>
            </w:r>
            <w:r/>
          </w:p>
        </w:tc>
      </w:tr>
      <w:tr>
        <w:trPr>
          <w:trHeight w:val="5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val="false"/>
          </w:tcPr>
          <w:p>
            <w:pPr>
              <w:jc w:val="center"/>
              <w:widowControl/>
              <w:rPr>
                <w:rFonts w:hint="eastAsia" w:ascii="微软雅黑" w:hAnsi="微软雅黑" w:eastAsia="微软雅黑" w:cs="微软雅黑"/>
                <w:color w:val="000000"/>
                <w:sz w:val="18"/>
                <w:szCs w:val="18"/>
                <w:lang w:bidi="ar"/>
              </w:rPr>
            </w:pPr>
            <w:r>
              <w:rPr>
                <w:rFonts w:hint="eastAsia" w:ascii="微软雅黑" w:hAnsi="微软雅黑" w:eastAsia="微软雅黑" w:cs="微软雅黑"/>
                <w:color w:val="000000"/>
                <w:sz w:val="18"/>
                <w:szCs w:val="18"/>
                <w:lang w:bidi="ar"/>
              </w:rPr>
              <w:t xml:space="preserve">336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jc w:val="center"/>
              <w:widowControl/>
              <w:rPr>
                <w:rFonts w:hint="eastAsia" w:ascii="微软雅黑" w:hAnsi="微软雅黑" w:eastAsia="微软雅黑" w:cs="微软雅黑"/>
                <w:color w:val="ff0000"/>
                <w:sz w:val="18"/>
                <w:szCs w:val="18"/>
                <w:lang w:bidi="ar"/>
              </w:rPr>
            </w:pPr>
            <w:r>
              <w:rPr>
                <w:rFonts w:hint="eastAsia" w:ascii="微软雅黑" w:hAnsi="微软雅黑" w:eastAsia="微软雅黑" w:cs="微软雅黑"/>
                <w:color w:val="ff0000"/>
                <w:sz w:val="18"/>
                <w:szCs w:val="18"/>
                <w:lang w:bidi="ar"/>
              </w:rPr>
              <w:t xml:space="preserve">实验桌拆装</w:t>
            </w:r>
            <w:r/>
          </w:p>
        </w:tc>
        <w:tc>
          <w:tcPr>
            <w:tcBorders>
              <w:top w:val="single" w:color="000000" w:sz="4" w:space="0"/>
              <w:left w:val="single" w:color="000000" w:sz="4" w:space="0"/>
              <w:bottom w:val="single" w:color="000000" w:sz="4" w:space="0"/>
              <w:right w:val="single" w:color="000000" w:sz="4" w:space="0"/>
            </w:tcBorders>
            <w:tcW w:w="1516" w:type="pct"/>
            <w:vAlign w:val="center"/>
            <w:textDirection w:val="lrTb"/>
            <w:noWrap w:val="false"/>
          </w:tcPr>
          <w:p>
            <w:pPr>
              <w:jc w:val="center"/>
              <w:widowControl/>
              <w:rPr>
                <w:rFonts w:hint="eastAsia" w:ascii="微软雅黑" w:hAnsi="微软雅黑" w:eastAsia="微软雅黑" w:cs="微软雅黑"/>
                <w:color w:val="ff0000"/>
                <w:sz w:val="18"/>
                <w:szCs w:val="18"/>
                <w:lang w:bidi="ar"/>
              </w:rPr>
            </w:pPr>
            <w:r>
              <w:rPr>
                <w:rFonts w:hint="eastAsia" w:ascii="微软雅黑" w:hAnsi="微软雅黑" w:eastAsia="微软雅黑" w:cs="微软雅黑"/>
                <w:color w:val="ff0000"/>
                <w:sz w:val="18"/>
                <w:szCs w:val="18"/>
                <w:lang w:bidi="ar"/>
              </w:rPr>
              <w:t xml:space="preserve">服务业</w:t>
            </w:r>
            <w:r/>
          </w:p>
        </w:tc>
      </w:tr>
    </w:tbl>
    <w:p>
      <w:pPr>
        <w:rPr>
          <w:rFonts w:hint="eastAsia"/>
        </w:rPr>
      </w:pPr>
      <w:r>
        <w:rPr>
          <w:rFonts w:hint="eastAsia"/>
        </w:rPr>
        <w:br w:type="page" w:clear="all"/>
      </w:r>
      <w:r/>
    </w:p>
    <w:p>
      <w:pPr>
        <w:jc w:val="both"/>
        <w:keepLines/>
        <w:keepNext/>
        <w:spacing w:after="0" w:line="360" w:lineRule="auto"/>
        <w:rPr>
          <w:rFonts w:hint="eastAsia" w:ascii="宋体" w:hAnsi="宋体" w:eastAsia="宋体" w:cs="宋体"/>
          <w:b/>
          <w:bCs/>
          <w:color w:val="000000"/>
          <w:sz w:val="32"/>
          <w:szCs w:val="32"/>
          <w14:ligatures w14:val="none"/>
        </w:rPr>
        <w:outlineLvl w:val="1"/>
      </w:pPr>
      <w:r/>
      <w:bookmarkStart w:id="207" w:name="OLE_LINK73"/>
      <w:r/>
      <w:bookmarkStart w:id="208" w:name="OLE_LINK40"/>
      <w:r>
        <w:rPr>
          <w:rFonts w:hint="eastAsia" w:ascii="宋体" w:hAnsi="宋体" w:eastAsia="宋体" w:cs="宋体"/>
          <w:b/>
          <w:bCs/>
          <w:color w:val="000000"/>
          <w:sz w:val="32"/>
          <w:szCs w:val="32"/>
          <w14:ligatures w14:val="none"/>
        </w:rPr>
        <w:t xml:space="preserve">三、商务要求</w:t>
      </w:r>
      <w:bookmarkEnd w:id="207"/>
      <w:bookmarkEnd w:id="208"/>
      <w:r/>
    </w:p>
    <w:tbl>
      <w:tblPr>
        <w:tblStyle w:val="790"/>
        <w:tblW w:w="8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285"/>
        <w:gridCol w:w="6781"/>
      </w:tblGrid>
      <w:tr>
        <w:trPr>
          <w:jc w:val="center"/>
          <w:trHeight w:val="642"/>
        </w:trPr>
        <w:tc>
          <w:tcPr>
            <w:tcW w:w="660" w:type="dxa"/>
            <w:vAlign w:val="center"/>
            <w:textDirection w:val="lrTb"/>
            <w:noWrap w:val="false"/>
          </w:tcPr>
          <w:p>
            <w:pPr>
              <w:jc w:val="center"/>
              <w:spacing w:after="0" w:line="240" w:lineRule="auto"/>
              <w:rPr>
                <w:rFonts w:hint="eastAsia" w:ascii="宋体" w:hAnsi="宋体" w:eastAsia="宋体" w:cs="宋体"/>
                <w:b/>
                <w:sz w:val="21"/>
                <w:szCs w:val="21"/>
                <w14:ligatures w14:val="none"/>
              </w:rPr>
            </w:pPr>
            <w:r/>
            <w:bookmarkStart w:id="209" w:name="OLE_LINK131"/>
            <w:r/>
            <w:bookmarkStart w:id="210" w:name="OLE_LINK74"/>
            <w:r>
              <w:rPr>
                <w:rFonts w:hint="eastAsia" w:ascii="宋体" w:hAnsi="宋体" w:eastAsia="宋体" w:cs="宋体"/>
                <w:b/>
                <w:sz w:val="21"/>
                <w:szCs w:val="21"/>
                <w14:ligatures w14:val="none"/>
              </w:rPr>
              <w:t xml:space="preserve">序号</w:t>
            </w:r>
            <w:r/>
          </w:p>
        </w:tc>
        <w:tc>
          <w:tcPr>
            <w:tcW w:w="1285" w:type="dxa"/>
            <w:vAlign w:val="center"/>
            <w:textDirection w:val="lrTb"/>
            <w:noWrap w:val="false"/>
          </w:tcPr>
          <w:p>
            <w:pPr>
              <w:jc w:val="center"/>
              <w:spacing w:after="0" w:line="24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条款名称</w:t>
            </w:r>
            <w:r/>
          </w:p>
        </w:tc>
        <w:tc>
          <w:tcPr>
            <w:tcW w:w="6781" w:type="dxa"/>
            <w:vAlign w:val="center"/>
            <w:textDirection w:val="lrTb"/>
            <w:noWrap w:val="false"/>
          </w:tcPr>
          <w:p>
            <w:pPr>
              <w:jc w:val="center"/>
              <w:spacing w:after="0" w:line="240" w:lineRule="auto"/>
              <w:rPr>
                <w:rFonts w:hint="eastAsia" w:ascii="宋体" w:hAnsi="宋体" w:eastAsia="宋体" w:cs="宋体"/>
                <w:b/>
                <w:sz w:val="21"/>
                <w:szCs w:val="21"/>
                <w14:ligatures w14:val="none"/>
              </w:rPr>
            </w:pPr>
            <w:r>
              <w:rPr>
                <w:rFonts w:hint="eastAsia" w:ascii="宋体" w:hAnsi="宋体" w:eastAsia="宋体" w:cs="宋体"/>
                <w:b/>
                <w:sz w:val="21"/>
                <w:szCs w:val="21"/>
                <w14:ligatures w14:val="none"/>
              </w:rPr>
              <w:t xml:space="preserve">具体要求</w:t>
            </w:r>
            <w:r/>
          </w:p>
        </w:tc>
      </w:tr>
      <w:tr>
        <w:trPr>
          <w:jc w:val="center"/>
          <w:trHeight w:val="642"/>
        </w:trPr>
        <w:tc>
          <w:tcPr>
            <w:tcW w:w="660"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w:t>
            </w:r>
            <w:r/>
          </w:p>
        </w:tc>
        <w:tc>
          <w:tcPr>
            <w:tcW w:w="1285"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合同主体</w:t>
            </w:r>
            <w:r/>
          </w:p>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与付款单位</w:t>
            </w:r>
            <w:r/>
          </w:p>
        </w:tc>
        <w:tc>
          <w:tcPr>
            <w:tcW w:w="6781" w:type="dxa"/>
            <w:vAlign w:val="center"/>
            <w:textDirection w:val="lrTb"/>
            <w:noWrap w:val="false"/>
          </w:tcPr>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本项目合同主体为响水县教育局和三所学校，付款单位为：三所学校。</w:t>
            </w:r>
            <w:r/>
          </w:p>
        </w:tc>
      </w:tr>
      <w:tr>
        <w:trPr>
          <w:jc w:val="center"/>
          <w:trHeight w:val="326"/>
        </w:trPr>
        <w:tc>
          <w:tcPr>
            <w:tcW w:w="660"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w:t>
            </w:r>
            <w:r/>
          </w:p>
        </w:tc>
        <w:tc>
          <w:tcPr>
            <w:tcW w:w="1285"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核心产品、进口产品相关说明</w:t>
            </w:r>
            <w:r/>
          </w:p>
        </w:tc>
        <w:tc>
          <w:tcPr>
            <w:tcW w:w="6781" w:type="dxa"/>
            <w:vAlign w:val="center"/>
            <w:textDirection w:val="lrTb"/>
            <w:noWrap w:val="false"/>
          </w:tcPr>
          <w:p>
            <w:pPr>
              <w:spacing w:after="0" w:line="240" w:lineRule="auto"/>
              <w:rPr>
                <w:rFonts w:hint="eastAsia" w:ascii="宋体" w:hAnsi="宋体" w:eastAsia="宋体" w:cs="宋体"/>
                <w:color w:val="ff0000"/>
                <w:sz w:val="21"/>
                <w:szCs w:val="21"/>
                <w14:ligatures w14:val="none"/>
              </w:rPr>
            </w:pPr>
            <w:r>
              <w:rPr>
                <w:rFonts w:hint="eastAsia" w:ascii="宋体" w:hAnsi="宋体" w:eastAsia="宋体" w:cs="宋体"/>
                <w:sz w:val="21"/>
                <w:szCs w:val="21"/>
                <w14:ligatures w14:val="none"/>
              </w:rPr>
              <w:t xml:space="preserve">本项目核心产品为：</w:t>
            </w:r>
            <w:r>
              <w:rPr>
                <w:rFonts w:hint="eastAsia" w:ascii="宋体" w:hAnsi="宋体" w:eastAsia="宋体" w:cs="宋体"/>
                <w:color w:val="ff0000"/>
                <w:sz w:val="21"/>
                <w:szCs w:val="21"/>
                <w14:ligatures w14:val="none"/>
              </w:rPr>
              <w:t xml:space="preserve">便携式学生实验考评终端</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本项目不接受进口产品投标</w:t>
            </w:r>
            <w:r/>
          </w:p>
        </w:tc>
      </w:tr>
      <w:tr>
        <w:trPr>
          <w:jc w:val="center"/>
          <w:trHeight w:val="90"/>
        </w:trPr>
        <w:tc>
          <w:tcPr>
            <w:tcW w:w="660"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w:t>
            </w:r>
            <w:r/>
          </w:p>
        </w:tc>
        <w:tc>
          <w:tcPr>
            <w:tcW w:w="1285"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技术验证</w:t>
            </w:r>
            <w:r/>
          </w:p>
        </w:tc>
        <w:tc>
          <w:tcPr>
            <w:tcW w:w="6781" w:type="dxa"/>
            <w:vAlign w:val="center"/>
            <w:textDirection w:val="lrTb"/>
            <w:noWrap w:val="false"/>
          </w:tcPr>
          <w:p>
            <w:pPr>
              <w:ind w:firstLine="420"/>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因项目建设特殊性，项目建成须响水县域内有光纤资源的基础电信业务经营许可证的运营商或增值电信业务经营许可证的运营商或其分公司提供考点网络光缆建设、带宽租赁等服务，其中含考试期间网络及日常网络保障服务，投标人需自行与响水县域内的基础电信通讯运营企业进行前期的沟通与对接，以保证项目建设实施后的正常运转，与响水县域内的通讯运营企业之间产生的一切费用由项目中标人承担。</w:t>
            </w:r>
            <w:r/>
          </w:p>
        </w:tc>
      </w:tr>
      <w:tr>
        <w:trPr>
          <w:jc w:val="center"/>
          <w:trHeight w:val="326"/>
        </w:trPr>
        <w:tc>
          <w:tcPr>
            <w:tcW w:w="660"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w:t>
            </w:r>
            <w:r/>
          </w:p>
        </w:tc>
        <w:tc>
          <w:tcPr>
            <w:tcW w:w="1285" w:type="dxa"/>
            <w:vAlign w:val="center"/>
            <w:textDirection w:val="lrTb"/>
            <w:noWrap w:val="false"/>
          </w:tcPr>
          <w:p>
            <w:pPr>
              <w:jc w:val="center"/>
              <w:spacing w:after="0" w:line="240" w:lineRule="auto"/>
              <w:rPr>
                <w:rFonts w:hint="eastAsia" w:ascii="宋体" w:hAnsi="宋体" w:eastAsia="宋体" w:cs="宋体"/>
                <w:sz w:val="21"/>
                <w:szCs w:val="21"/>
                <w:highlight w:val="yellow"/>
                <w14:ligatures w14:val="none"/>
              </w:rPr>
            </w:pPr>
            <w:r>
              <w:rPr>
                <w:rFonts w:hint="eastAsia" w:ascii="宋体" w:hAnsi="宋体" w:eastAsia="宋体" w:cs="宋体"/>
                <w:sz w:val="21"/>
                <w:szCs w:val="21"/>
                <w:highlight w:val="yellow"/>
                <w14:ligatures w14:val="none"/>
              </w:rPr>
              <w:t xml:space="preserve">建设（技术设计）要求</w:t>
            </w:r>
            <w:r/>
          </w:p>
        </w:tc>
        <w:tc>
          <w:tcPr>
            <w:tcW w:w="6781" w:type="dxa"/>
            <w:vAlign w:val="center"/>
            <w:textDirection w:val="lrTb"/>
            <w:noWrap w:val="false"/>
          </w:tcPr>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项目需求分析：针对本项目建设目标、建设需求，结合各校情况给出具体分析，并梳理建设过程中的重点、难点内容基础设施建设方案（网络架构）针对两级平台的部署方式、网络资源、拓扑图、算力部署架构进行技术设计和阐述；</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平台建设方案（软件及平台技术架构）：针对主要技术产品（教师展示台、学生终端、软件、算法）给到具体的终端部署架构方案，含校级平台的部署、NVR、视频数据流转、算力部署、网络架构（校级）、上下行网络资源分析等；</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3、主要产品选型与技术原理说明：针对主要产品（教师展示台、学生终端、基础设施）等，给到详实的产品选型与技术原理说明文档，包括其主要功能、结构、零部件构成、优势、应用场景等；</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4、应用场景说明、算法定制化方案：软件产品的应用场景（涵盖主要功能）、算法定制化的具体举措、方案（含数据采集、训练方案）</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5、软件产品安全与行为规范方案：软件产品的防攻击安全措施及收集信息的行为规范标准和具体措施；</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6、软件产品功能清单：主要软件（实验教学软件、实验考试软件）的具体功能清单。</w:t>
            </w:r>
            <w:r/>
          </w:p>
        </w:tc>
      </w:tr>
      <w:tr>
        <w:trPr>
          <w:jc w:val="center"/>
          <w:trHeight w:val="326"/>
        </w:trPr>
        <w:tc>
          <w:tcPr>
            <w:tcW w:w="660"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w:t>
            </w:r>
            <w:r/>
          </w:p>
        </w:tc>
        <w:tc>
          <w:tcPr>
            <w:tcW w:w="1285"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highlight w:val="yellow"/>
                <w14:ligatures w14:val="none"/>
              </w:rPr>
              <w:t xml:space="preserve">教研师训及售后（服务运营）要求</w:t>
            </w:r>
            <w:r/>
          </w:p>
        </w:tc>
        <w:tc>
          <w:tcPr>
            <w:tcW w:w="6781" w:type="dxa"/>
            <w:vAlign w:val="center"/>
            <w:textDirection w:val="lrTb"/>
            <w:noWrap w:val="false"/>
          </w:tcPr>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投标人应明确承诺：提供自验收合格之日起5年内满足教育行政部门考试实施技术保障要求的技术服务，承诺每年考试期间（含模拟考）人员配备达到以下最低要求：（1）每次考试前（含模拟考）设备巡检人员，3 人不少于2天；（2）考试期间（含模拟考）技术保障人员7人（其中3人网络保障、4人软件平台保障），支撑时间累计不少于14天。为保障实验操作考试以及实验操作常态化的使用，投标人提供线上轻量级的线上保障方式及服务。随时可以联系到厂家技术服务人员。厂家技术服务人员会根据现场图片、语言文字表述</w:t>
            </w:r>
            <w:r>
              <w:rPr>
                <w:rFonts w:hint="eastAsia" w:ascii="宋体" w:hAnsi="宋体" w:eastAsia="宋体" w:cs="宋体"/>
                <w:sz w:val="21"/>
                <w:szCs w:val="21"/>
                <w14:ligatures w14:val="none"/>
              </w:rPr>
              <w:t xml:space="preserve">对问题情况进行初步排查，提供线上指导意见或者提供后续的线下维修服务。针对实验考试模拟考试和正式考试期间，投标人提供全流程、全周期的考试期间保障服务。在组织实验考试（含模拟考）开始前至少2天，技术人员抵达各考点巡检各考点设备现状，包括考试软件、学生软件、考场前端设备、存储设备、抽签设备等，并对相关人员进行培训。确保设备能够顺利完成考试全流程，通过系统优化和调整优化设备、软件、存储的性能。同时技术人员能够配合考务人员进行实验考试考场的考前验收工作，确保考试前设备正常稳定。实验考试阶段在每一个考点安排专业的技术保</w:t>
            </w:r>
            <w:r>
              <w:rPr>
                <w:rFonts w:hint="eastAsia" w:ascii="宋体" w:hAnsi="宋体" w:eastAsia="宋体" w:cs="宋体"/>
                <w:sz w:val="21"/>
                <w:szCs w:val="21"/>
                <w14:ligatures w14:val="none"/>
              </w:rPr>
              <w:t xml:space="preserve">障人员，驻点解决当场突发的各种问题，配合监考人员工作直至考试结束。在线上，投标人也足额配备线上技术支持人员，支持当场技术问题解决和线上问题解答。在考试视频上传期间，专业视频传输的技术人员全程参与各考点视频上传中心过程，保障上传过程稳定。阅卷期间，为每个阅卷点配备专业人员保持阅卷过程顺利进行。阅卷过程涉及到大批量的考试视频的分发，在视频中心投标人也须安排技术人员全程跟踪保障。建设完善的备品备件供应链，24小时响应备品备件更换需求，保障实验考试配套硬件设备的稳定性。质保期内，硬件因质量缺陷发生故障，无条件更换。</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2、所有配套软件系统及资源库（含技术参数中未列明的满足项目需求必备的软件及操作系统等）永久授权使用，并在质保期内享免费维护、免费升级服务。</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3、软件平台运行数据归采购人所有，并可以根据采购人需求导出，供应商未经采购人许可不得获取、不得用于其它任何目的；</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4、软件平台数据的安全和备份管理，除招标文件规定要求之外，后续供应商须安排技术人员指导采购方相关人员学习并实操；</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5、采购人如有第三方平台接入需求，本次项目所涉及的软件数据接口应免费开放（如涉及供应商商业机密不能直接开放，供应商应提供数据中间件，并免费配合）。</w:t>
            </w:r>
            <w:r/>
          </w:p>
          <w:p>
            <w:pPr>
              <w:jc w:val="both"/>
              <w:spacing w:after="0" w:line="240" w:lineRule="auto"/>
              <w:rPr>
                <w:rFonts w:hint="eastAsia" w:ascii="宋体" w:hAnsi="宋体" w:eastAsia="宋体" w:cs="宋体"/>
                <w:b/>
                <w:bCs/>
                <w:sz w:val="21"/>
                <w:szCs w:val="21"/>
                <w:u w:val="single"/>
                <w14:ligatures w14:val="none"/>
              </w:rPr>
            </w:pPr>
            <w:r>
              <w:rPr>
                <w:rFonts w:hint="eastAsia" w:ascii="宋体" w:hAnsi="宋体" w:eastAsia="宋体" w:cs="宋体"/>
                <w:b/>
                <w:bCs/>
                <w:sz w:val="21"/>
                <w:szCs w:val="21"/>
                <w:u w:val="single"/>
                <w14:ligatures w14:val="none"/>
              </w:rPr>
              <w:t xml:space="preserve">6、本项目免费质保不低于5年，自验收报告签字确认日起，开始进入质保期。</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7、超过保修期的机器设备，发生故障时，中标人负责终生维修，在不高于出厂价的基础上可收取部件成本费。</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b/>
                <w:bCs/>
                <w:sz w:val="21"/>
                <w:szCs w:val="21"/>
                <w14:ligatures w14:val="none"/>
              </w:rPr>
              <w:t xml:space="preserve">具体要求：</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（1）培训内容：应明确培训针对的对象、具体知识与技能要点。</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（2）培训课程：涵盖课程设置、教学方式、课时安排。</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（3）考核标准：兼顾客观性、可衡量性及可操作性。</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（4）考核方式：应能实现最终考核目标，对考核对象的实际操作、能力素质等进行评估。</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（5）培训人员：具备丰富的设备维护、类似项目培训实操经验。</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（6）考试和阅卷现场服务保障：应确保考试及阅卷环节安全、有序、公平开展，针对现场组织、流程管理、资源调配、应急处理等制定的系统性保障措施与操作规范。</w:t>
            </w:r>
            <w:r/>
          </w:p>
          <w:p>
            <w:pPr>
              <w:jc w:val="both"/>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（7）质保期内及质保期外的服务方式及措施：应明确质保期内外的责任边界、服务范围及响应机制，以保障采购人权益。</w:t>
            </w:r>
            <w:r/>
          </w:p>
          <w:p>
            <w:pPr>
              <w:jc w:val="both"/>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响应时间：提供7*12小时技术支持服务，投标人接到采购方报修通知在2小时以内响应，6小时以内到达，24小时以内修复；如果证实货物是有缺陷的，包括潜在的缺陷或者使用不符合要求的材料等，中标人应立即免费维修或者更换有缺陷的货物或者部件，保证达到合同规定的技术以及性能要求。中标人在收到通知后七个工作日内没有弥补缺陷，采购人可自行采取必要的补救措施，但风险和费用由中标人承担，采购人同时保留通过法律途径进行索赔的权利。</w:t>
            </w:r>
            <w:r/>
          </w:p>
          <w:p>
            <w:pPr>
              <w:jc w:val="both"/>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（9）应急措施：应能实际并快速的解决因供应商设备故障等原因造成的应急事件的处理。</w:t>
            </w:r>
            <w:r/>
          </w:p>
          <w:p>
            <w:pPr>
              <w:jc w:val="both"/>
              <w:spacing w:after="0" w:line="240" w:lineRule="auto"/>
              <w:rPr>
                <w:rFonts w:hint="eastAsia"/>
              </w:rPr>
            </w:pPr>
            <w:r>
              <w:rPr>
                <w:rFonts w:hint="eastAsia" w:ascii="宋体" w:hAnsi="宋体" w:eastAsia="宋体" w:cs="宋体"/>
                <w:sz w:val="21"/>
                <w:szCs w:val="21"/>
                <w14:ligatures w14:val="none"/>
              </w:rPr>
              <w:t xml:space="preserve">（10）质保期外优惠条件：详细列明质保期外因供应商设备损坏或采购人设备更新等的优惠条件。</w:t>
            </w:r>
            <w:r/>
          </w:p>
        </w:tc>
      </w:tr>
      <w:tr>
        <w:trPr>
          <w:jc w:val="center"/>
          <w:trHeight w:val="1056"/>
        </w:trPr>
        <w:tc>
          <w:tcPr>
            <w:tcW w:w="660"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w:t>
            </w:r>
            <w:r/>
          </w:p>
        </w:tc>
        <w:tc>
          <w:tcPr>
            <w:tcW w:w="1285"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highlight w:val="yellow"/>
                <w14:ligatures w14:val="none"/>
              </w:rPr>
              <w:t xml:space="preserve">实施组织要求</w:t>
            </w:r>
            <w:r/>
          </w:p>
        </w:tc>
        <w:tc>
          <w:tcPr>
            <w:tcW w:w="6781" w:type="dxa"/>
            <w:vAlign w:val="center"/>
            <w:textDirection w:val="lrTb"/>
            <w:noWrap w:val="false"/>
          </w:tcPr>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招标清单中的设备数量和工程量，供应商在报价时不得增减，供应商必须满足本项目所有功能要求，有义务保证采购人系统的功能性、完整性和系统正常运行，未在招标文件中明示的设备及附配件，供应商应在供货时须免费补充。本项目报价已包含所有辅材费用、所有框架结构及地面开挖和恢复。投标所报总价含清单所列及运输、安装、调试、保洁、培训、第三方检测、免费上门</w:t>
            </w:r>
            <m:oMath>
              <m:r>
                <w:rPr>
                  <w:rFonts w:hint="eastAsia" w:ascii="Cambria Math" w:hAnsi="Cambria Math" w:eastAsia="宋体" w:cs="宋体"/>
                  <w:sz w:val="21"/>
                  <w:szCs w:val="21"/>
                  <w14:ligatures w14:val="none"/>
                </w:rPr>
                <m:rPr>
                  <m:sty m:val="p"/>
                </m:rPr>
                <m:t>维护及保养</m:t>
              </m:r>
            </m:oMath>
            <w:r>
              <w:rPr>
                <w:rFonts w:hint="eastAsia" w:ascii="宋体" w:hAnsi="宋体" w:eastAsia="宋体" w:cs="宋体"/>
                <w:sz w:val="21"/>
                <w:szCs w:val="21"/>
                <w14:ligatures w14:val="none"/>
              </w:rPr>
              <w:t xml:space="preserve">等与本项目相关的一切费用</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2、本项目验收前供应商承担所有货物的保管责任。供应商安装、调试、培训完成，由采购人组织验收，检验不合格或不符合质量要求，供应商除无条件退货、返工外，还应承担交付时间违约责任。</w:t>
            </w:r>
            <w:r/>
          </w:p>
          <w:p>
            <w:pPr>
              <w:spacing w:after="0" w:line="24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具体要求：</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（1）备货运输：根据项目供货地点，提供经济可靠的备货运输方案</w:t>
            </w:r>
            <w:r>
              <w:rPr>
                <w:rFonts w:hint="eastAsia" w:ascii="Segoe UI" w:hAnsi="Segoe UI" w:eastAsia="宋体" w:cs="Segoe UI"/>
                <w:sz w:val="24"/>
                <w:shd w:val="clear" w:color="auto" w:fill="ffffff"/>
              </w:rPr>
              <w:t xml:space="preserve">。</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（2）安装调试：符合招标文件技术要求及国家行业相关标准。</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color w:val="ee0000"/>
                <w:sz w:val="21"/>
                <w:szCs w:val="21"/>
                <w14:ligatures w14:val="none"/>
              </w:rPr>
              <w:t xml:space="preserve">（3）试运行测试方案：在实际运行环境下的硬件设备测试、系统功能测试、环境适配测试、应急流程测试、考务人员实操测试等方面提供具体方案说明。</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（4）验收：符合国家相应的验收标准。</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（5）工期进度计划：提供备货、安装、调试、验收、试运行等的进度计划表。</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（6）进度保障：保证项目在工期内完成的合理保障措施。</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（7）团队人员配备：应明确项目团队人员构成，包括项目经理、技术负责人等关键岗位的专业资质、工作经验及同类项目业绩。</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（8）备品备件：提供设备质保期内外所需的备品备件清单，明确备件名称、规格、数量及单价。</w:t>
            </w:r>
            <w:r/>
          </w:p>
          <w:p>
            <w:pPr>
              <w:spacing w:after="0" w:line="240" w:lineRule="auto"/>
              <w:rPr>
                <w:rFonts w:hint="eastAsia" w:ascii="宋体" w:hAnsi="宋体" w:eastAsia="宋体" w:cs="宋体"/>
                <w:color w:val="ee0000"/>
                <w:sz w:val="21"/>
                <w:szCs w:val="21"/>
                <w14:ligatures w14:val="none"/>
              </w:rPr>
            </w:pPr>
            <w:r>
              <w:rPr>
                <w:rFonts w:hint="eastAsia" w:ascii="宋体" w:hAnsi="宋体" w:eastAsia="宋体" w:cs="宋体"/>
                <w:color w:val="ee0000"/>
                <w:sz w:val="21"/>
                <w:szCs w:val="21"/>
                <w14:ligatures w14:val="none"/>
              </w:rPr>
              <w:t xml:space="preserve">（9）安全保障：项目实施阶段根据人员保障、设备与设施安全、网络与数据安全、施工与调试安全、应急处置安全、安全管理与监督等方面提供具体说明。</w:t>
            </w:r>
            <w:r/>
          </w:p>
          <w:p>
            <w:pPr>
              <w:spacing w:after="0" w:line="240" w:lineRule="auto"/>
              <w:rPr>
                <w:rFonts w:hint="eastAsia" w:ascii="宋体" w:hAnsi="宋体" w:eastAsia="宋体" w:cs="宋体"/>
                <w:sz w:val="21"/>
                <w:szCs w:val="21"/>
              </w:rPr>
            </w:pPr>
            <w:r>
              <w:rPr>
                <w:rFonts w:hint="eastAsia" w:ascii="宋体" w:hAnsi="宋体" w:eastAsia="宋体" w:cs="宋体"/>
                <w:sz w:val="21"/>
                <w:szCs w:val="21"/>
                <w14:ligatures w14:val="none"/>
              </w:rPr>
              <w:t xml:space="preserve">（10）合理化建议：本项目实施过程中的合理化建议。</w:t>
            </w:r>
            <w:r/>
          </w:p>
        </w:tc>
      </w:tr>
      <w:tr>
        <w:trPr>
          <w:jc w:val="center"/>
          <w:trHeight w:val="1056"/>
        </w:trPr>
        <w:tc>
          <w:tcPr>
            <w:tcW w:w="660"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7</w:t>
            </w:r>
            <w:r/>
          </w:p>
        </w:tc>
        <w:tc>
          <w:tcPr>
            <w:tcW w:w="1285" w:type="dxa"/>
            <w:vAlign w:val="center"/>
            <w:textDirection w:val="lrTb"/>
            <w:noWrap w:val="false"/>
          </w:tcPr>
          <w:p>
            <w:pPr>
              <w:jc w:val="center"/>
              <w:spacing w:after="0" w:line="240" w:lineRule="auto"/>
              <w:rPr>
                <w:rFonts w:hint="eastAsia" w:ascii="宋体" w:hAnsi="宋体" w:eastAsia="宋体" w:cs="宋体"/>
                <w:sz w:val="21"/>
                <w:szCs w:val="21"/>
                <w:highlight w:val="yellow"/>
                <w14:ligatures w14:val="none"/>
              </w:rPr>
            </w:pPr>
            <w:r>
              <w:rPr>
                <w:rFonts w:hint="eastAsia" w:ascii="宋体" w:hAnsi="宋体" w:eastAsia="宋体" w:cs="宋体"/>
                <w:sz w:val="21"/>
                <w:szCs w:val="21"/>
                <w:highlight w:val="yellow"/>
                <w14:ligatures w14:val="none"/>
              </w:rPr>
              <w:t xml:space="preserve">履行能力要求</w:t>
            </w:r>
            <w:r/>
          </w:p>
        </w:tc>
        <w:tc>
          <w:tcPr>
            <w:tcW w:w="6781" w:type="dxa"/>
            <w:vAlign w:val="center"/>
            <w:textDirection w:val="lrTb"/>
            <w:noWrap w:val="false"/>
          </w:tcPr>
          <w:p>
            <w:pPr>
              <w:spacing w:after="0" w:line="240" w:lineRule="auto"/>
              <w:rPr>
                <w:rFonts w:hint="eastAsia" w:ascii="宋体" w:hAnsi="宋体" w:eastAsia="宋体" w:cs="宋体"/>
                <w:b/>
                <w:bCs/>
                <w:sz w:val="21"/>
                <w:szCs w:val="21"/>
                <w14:ligatures w14:val="none"/>
              </w:rPr>
            </w:pPr>
            <w:r>
              <w:rPr>
                <w:rFonts w:hint="eastAsia" w:ascii="宋体" w:hAnsi="宋体" w:eastAsia="宋体" w:cs="宋体"/>
                <w:sz w:val="21"/>
                <w:szCs w:val="21"/>
                <w14:ligatures w14:val="none"/>
              </w:rPr>
              <w:t xml:space="preserve">（1）供应商或制造商具有2022年1月1日以来具有类似项目建设业绩。该“类似项目业绩”的细化、量化指标是：主要产品应当包括视频采集终端、AI评分系统、管理系统；</w:t>
            </w:r>
            <w:r>
              <w:rPr>
                <w:rFonts w:hint="eastAsia" w:ascii="宋体" w:hAnsi="宋体" w:eastAsia="宋体" w:cs="宋体"/>
                <w:sz w:val="21"/>
                <w:szCs w:val="21"/>
                <w14:ligatures w14:val="none"/>
              </w:rPr>
              <w:br/>
            </w:r>
            <w:r>
              <w:rPr>
                <w:rFonts w:hint="eastAsia" w:ascii="宋体" w:hAnsi="宋体" w:eastAsia="宋体" w:cs="宋体"/>
                <w:sz w:val="21"/>
                <w:szCs w:val="21"/>
                <w14:ligatures w14:val="none"/>
              </w:rPr>
              <w:t xml:space="preserve">须提供类似项目的政府采购项目合同，以合同签订时间为准。</w:t>
            </w:r>
            <w:r>
              <w:rPr>
                <w:rFonts w:hint="eastAsia" w:ascii="宋体" w:hAnsi="宋体" w:eastAsia="宋体" w:cs="宋体"/>
                <w:sz w:val="21"/>
                <w:szCs w:val="21"/>
                <w14:ligatures w14:val="none"/>
              </w:rPr>
              <w:br/>
            </w:r>
            <w:r>
              <w:rPr>
                <w:rFonts w:hint="eastAsia" w:ascii="宋体" w:hAnsi="宋体" w:eastAsia="宋体" w:cs="宋体"/>
                <w:sz w:val="21"/>
                <w:szCs w:val="21"/>
                <w14:ligatures w14:val="none"/>
              </w:rPr>
              <w:t xml:space="preserve">（2）供应商拟投入的建设项目团队具有信息系统项目管理师证书、系统集成项目管理工程师证书。</w:t>
            </w:r>
            <w:r/>
          </w:p>
        </w:tc>
      </w:tr>
      <w:tr>
        <w:trPr>
          <w:jc w:val="center"/>
          <w:trHeight w:val="1056"/>
        </w:trPr>
        <w:tc>
          <w:tcPr>
            <w:tcW w:w="660"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8</w:t>
            </w:r>
            <w:r/>
          </w:p>
        </w:tc>
        <w:tc>
          <w:tcPr>
            <w:tcW w:w="1285"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highlight w:val="yellow"/>
                <w14:ligatures w14:val="none"/>
              </w:rPr>
              <w:t xml:space="preserve">质量保障及售后技术服务要求</w:t>
            </w:r>
            <w:r/>
          </w:p>
        </w:tc>
        <w:tc>
          <w:tcPr>
            <w:tcW w:w="6781" w:type="dxa"/>
            <w:vAlign w:val="center"/>
            <w:textDirection w:val="lrTb"/>
            <w:noWrap w:val="false"/>
          </w:tcPr>
          <w:p>
            <w:pPr>
              <w:spacing w:after="0" w:line="240" w:lineRule="auto"/>
              <w:rPr>
                <w:rFonts w:hint="eastAsia" w:ascii="宋体" w:hAnsi="宋体" w:eastAsia="宋体" w:cs="宋体"/>
                <w:sz w:val="21"/>
                <w:szCs w:val="21"/>
                <w14:ligatures w14:val="none"/>
              </w:rPr>
            </w:pPr>
            <w:r>
              <w:rPr>
                <w:rFonts w:hint="eastAsia" w:ascii="宋体" w:hAnsi="宋体" w:eastAsia="宋体" w:cs="宋体"/>
                <w:b/>
                <w:bCs/>
                <w:sz w:val="21"/>
                <w:szCs w:val="21"/>
                <w14:ligatures w14:val="none"/>
              </w:rPr>
              <w:t xml:space="preserve">具体要求：</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（1）质量保证体系：涵盖从设备采购、安装调试到验收交付的全流程质量管控。</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（2）质量管理组织机构：明确人员职责与工作流程，确保从采购至最终验收的质量可控。</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（3）质量管理制度：涵盖质量目标、过程控制等内容。</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（4）质量保证措施：确保本项目达到既定质量标准与要求所制定并实施的保证措施。</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（5）投诉处理办法：针对本项目特点及采购需求制定投诉后的应对办法。</w:t>
            </w:r>
            <w:r/>
          </w:p>
        </w:tc>
      </w:tr>
      <w:tr>
        <w:trPr>
          <w:jc w:val="center"/>
          <w:trHeight w:val="456"/>
        </w:trPr>
        <w:tc>
          <w:tcPr>
            <w:tcW w:w="660"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9</w:t>
            </w:r>
            <w:r/>
          </w:p>
        </w:tc>
        <w:tc>
          <w:tcPr>
            <w:tcW w:w="1285"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工期与交货地点</w:t>
            </w:r>
            <w:r/>
          </w:p>
        </w:tc>
        <w:tc>
          <w:tcPr>
            <w:tcW w:w="6781" w:type="dxa"/>
            <w:vAlign w:val="center"/>
            <w:textDirection w:val="lrTb"/>
            <w:noWrap w:val="false"/>
          </w:tcPr>
          <w:p>
            <w:pPr>
              <w:spacing w:after="0" w:line="240" w:lineRule="auto"/>
              <w:rPr>
                <w:rFonts w:hint="eastAsia" w:ascii="宋体" w:hAnsi="宋体" w:eastAsia="宋体" w:cs="宋体"/>
                <w:b/>
                <w:bCs/>
                <w:sz w:val="21"/>
                <w:szCs w:val="21"/>
                <w14:ligatures w14:val="none"/>
              </w:rPr>
            </w:pPr>
            <w:r>
              <w:rPr>
                <w:rFonts w:hint="eastAsia" w:ascii="宋体" w:hAnsi="宋体" w:eastAsia="宋体" w:cs="宋体"/>
                <w:b/>
                <w:bCs/>
                <w:sz w:val="21"/>
                <w:szCs w:val="21"/>
                <w14:ligatures w14:val="none"/>
              </w:rPr>
              <w:t xml:space="preserve">1、合同签订后60个工作日内，供应商负责供货到采购人指定地点并安装调试到位。</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tc>
      </w:tr>
      <w:tr>
        <w:trPr>
          <w:jc w:val="center"/>
          <w:trHeight w:val="90"/>
        </w:trPr>
        <w:tc>
          <w:tcPr>
            <w:tcW w:w="660" w:type="dxa"/>
            <w:vAlign w:val="center"/>
            <w:textDirection w:val="lrTb"/>
            <w:noWrap w:val="false"/>
          </w:tcPr>
          <w:p>
            <w:pPr>
              <w:jc w:val="center"/>
              <w:spacing w:after="0" w:line="24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10</w:t>
            </w:r>
            <w:r/>
          </w:p>
        </w:tc>
        <w:tc>
          <w:tcPr>
            <w:tcW w:w="1285" w:type="dxa"/>
            <w:vAlign w:val="center"/>
            <w:textDirection w:val="lrTb"/>
            <w:noWrap w:val="false"/>
          </w:tcPr>
          <w:p>
            <w:pPr>
              <w:jc w:val="center"/>
              <w:spacing w:after="0" w:line="24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供货要求</w:t>
            </w:r>
            <w:r/>
          </w:p>
        </w:tc>
        <w:tc>
          <w:tcPr>
            <w:tcW w:w="6781" w:type="dxa"/>
            <w:vAlign w:val="center"/>
            <w:textDirection w:val="lrTb"/>
            <w:noWrap w:val="false"/>
          </w:tcPr>
          <w:p>
            <w:pPr>
              <w:spacing w:after="0" w:line="24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1、</w:t>
            </w:r>
            <w:r>
              <w:rPr>
                <w:rFonts w:hint="eastAsia" w:ascii="宋体" w:hAnsi="宋体" w:eastAsia="宋体" w:cs="宋体"/>
                <w:sz w:val="21"/>
                <w:szCs w:val="21"/>
                <w14:ligatures w14:val="none"/>
              </w:rPr>
              <w:t xml:space="preserve">投标人须明确所投设备的生产厂家、品牌、型号、规格和外</w:t>
            </w:r>
            <w:r>
              <w:rPr>
                <w:rFonts w:hint="eastAsia" w:ascii="宋体" w:hAnsi="宋体" w:eastAsia="宋体" w:cs="宋体"/>
                <w:sz w:val="21"/>
                <w:szCs w:val="21"/>
                <w14:ligatures w14:val="none"/>
              </w:rPr>
              <w:t xml:space="preserve">形、尺寸等，并保证货物是全新、未使用过的原厂合格产品，并完全符合招标文件规定的质量、规格和参数的要求。完全符合国家标准规定的质量、规格和性能的要求。保证提供的产品不得侵犯第三方专利权、商标权和设计权、版权等。否则，中标人应负全部责任，并承担由此引起的一切后果。验收或使用过程中发现产品不符合上述要求的，将视作不合格产品，使用方有权终止合同，造成的一切损失由供应商承担。投标产品属于国家规定“三包”范围的，其产品的质量保证期不得低于“三包”规定。供应商的质量保证期承诺优于国家“三包”规定的，按供应商实际承诺执行。</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color w:val="000000"/>
                <w:sz w:val="21"/>
                <w:szCs w:val="21"/>
                <w14:ligatures w14:val="none"/>
              </w:rPr>
              <w:t xml:space="preserve">2、</w:t>
            </w:r>
            <w:r>
              <w:rPr>
                <w:rFonts w:hint="eastAsia" w:ascii="宋体" w:hAnsi="宋体" w:eastAsia="宋体" w:cs="宋体"/>
                <w:sz w:val="21"/>
                <w:szCs w:val="21"/>
                <w14:ligatures w14:val="none"/>
              </w:rPr>
              <w:t xml:space="preserve">供货时必须随产品提供出厂材料，包括产品合格证（原件）以及设备的测试、运行、保养手册，所有材料均要满足环保要求。</w:t>
            </w:r>
            <w:r/>
          </w:p>
          <w:p>
            <w:pPr>
              <w:spacing w:after="0" w:line="24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3、本项目所涉网线、插座、音视频线材等，如无特别说明，则不得低于以下标准：</w:t>
            </w:r>
            <w:r/>
          </w:p>
          <w:p>
            <w:pPr>
              <w:spacing w:after="0" w:line="24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网线，六类4对8芯无氧铜双绞线，线规为23AWG；</w:t>
            </w:r>
            <w:r/>
          </w:p>
          <w:p>
            <w:pPr>
              <w:spacing w:after="0" w:line="24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接线板（插座）均需符合GB2009.3-2015标准；</w:t>
            </w:r>
            <w:r/>
          </w:p>
          <w:p>
            <w:pPr>
              <w:spacing w:after="0" w:line="24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HDMI信号线，4K/60HZ，镀金接口，屏蔽为高密镀锡铜编织；</w:t>
            </w:r>
            <w:r/>
          </w:p>
          <w:p>
            <w:pPr>
              <w:spacing w:after="0" w:line="24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音频线必须符合国标要求；</w:t>
            </w:r>
            <w:r/>
          </w:p>
          <w:p>
            <w:pPr>
              <w:spacing w:after="0" w:line="24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VGA线，全铜芯线材，符合3+4国标；</w:t>
            </w:r>
            <w:r/>
          </w:p>
          <w:p>
            <w:pPr>
              <w:spacing w:after="0" w:line="240" w:lineRule="auto"/>
              <w:rPr>
                <w:rFonts w:hint="eastAsia" w:ascii="宋体" w:hAnsi="宋体" w:eastAsia="宋体" w:cs="宋体"/>
                <w:color w:val="000000"/>
                <w:sz w:val="21"/>
                <w:szCs w:val="21"/>
                <w14:ligatures w14:val="none"/>
              </w:rPr>
            </w:pPr>
            <w:r>
              <w:rPr>
                <w:rFonts w:hint="eastAsia" w:ascii="宋体" w:hAnsi="宋体" w:eastAsia="宋体" w:cs="宋体"/>
                <w:color w:val="000000"/>
                <w:sz w:val="21"/>
                <w:szCs w:val="21"/>
                <w14:ligatures w14:val="none"/>
              </w:rPr>
              <w:t xml:space="preserve">电源线，根据负载选择合理线径，材质为纯铜、国标。</w:t>
            </w:r>
            <w:r/>
          </w:p>
        </w:tc>
      </w:tr>
      <w:tr>
        <w:trPr>
          <w:jc w:val="center"/>
          <w:trHeight w:val="2977"/>
        </w:trPr>
        <w:tc>
          <w:tcPr>
            <w:tcW w:w="660"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11</w:t>
            </w:r>
            <w:r/>
          </w:p>
        </w:tc>
        <w:tc>
          <w:tcPr>
            <w:tcW w:w="1285"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验收标准与要求</w:t>
            </w:r>
            <w:r/>
          </w:p>
        </w:tc>
        <w:tc>
          <w:tcPr>
            <w:tcW w:w="6781" w:type="dxa"/>
            <w:vAlign w:val="center"/>
            <w:textDirection w:val="lrTb"/>
            <w:noWrap w:val="false"/>
          </w:tcPr>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1、项目实施完成，供应商须完成文档整理，对整个项目实施的档案资料进行整理、装订成册为竣工文档（一式两份），包含合格证、说明书、培训材料等，以及各厂家的技术支持和维修电话清单。</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2、申请验收前供应商应配合学校完成清点工作；逐项核对合同清单、验收表、验收清单。</w:t>
            </w:r>
            <w:r/>
          </w:p>
          <w:p>
            <w:pPr>
              <w:spacing w:after="12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供应商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tc>
      </w:tr>
      <w:tr>
        <w:trPr>
          <w:jc w:val="center"/>
          <w:trHeight w:val="4726"/>
        </w:trPr>
        <w:tc>
          <w:tcPr>
            <w:tcW w:w="660"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12</w:t>
            </w:r>
            <w:r/>
          </w:p>
        </w:tc>
        <w:tc>
          <w:tcPr>
            <w:tcW w:w="1285" w:type="dxa"/>
            <w:vAlign w:val="center"/>
            <w:textDirection w:val="lrTb"/>
            <w:noWrap w:val="false"/>
          </w:tcPr>
          <w:p>
            <w:pPr>
              <w:jc w:val="cente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付款条件</w:t>
            </w:r>
            <w:r/>
          </w:p>
        </w:tc>
        <w:tc>
          <w:tcPr>
            <w:tcW w:w="6781" w:type="dxa"/>
            <w:vAlign w:val="center"/>
            <w:textDirection w:val="lrTb"/>
            <w:noWrap w:val="false"/>
          </w:tcPr>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付款方式：1、报价中含清单所列及安装、运输、送货等与本项目相关的一切费用，本项目单项报价含税。自验收报告签字确认日起，开始进入质保期。</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2、本项目落实预付款制度，预付款比例为合同金额的30%，在签订合同时，中标人明确书面表示无需预付款或者主动要求降低预付款比例的，招标人可就预付款比例作相应调整。</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 尾款支付时间：  </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（1）所有货物安装完毕，甲方组织验收，验收合格后甲方向乙方支付至合同总价的30%款项；</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（2）验收合格满一年后，甲方向乙方支付至审计价的60%款项；</w:t>
            </w:r>
            <w:r/>
          </w:p>
          <w:p>
            <w:pPr>
              <w:spacing w:after="0" w:line="24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（3）验收合格满二年后，甲方向乙方支付至审计价的90%款项，余款次年付清。</w:t>
            </w:r>
            <w:r/>
          </w:p>
        </w:tc>
      </w:tr>
    </w:tbl>
    <w:p>
      <w:pPr>
        <w:keepLines/>
        <w:keepNext/>
        <w:spacing w:after="0" w:line="360" w:lineRule="auto"/>
        <w:widowControl/>
        <w:rPr>
          <w:rFonts w:hint="eastAsia" w:ascii="宋体" w:hAnsi="宋体" w:eastAsia="宋体" w:cs="宋体"/>
          <w:bCs/>
          <w:sz w:val="44"/>
          <w:szCs w:val="28"/>
          <w14:ligatures w14:val="none"/>
        </w:rPr>
      </w:pPr>
      <w:r>
        <w:rPr>
          <w:rFonts w:hint="eastAsia" w:ascii="宋体" w:hAnsi="宋体" w:eastAsia="宋体" w:cs="宋体"/>
          <w:bCs/>
          <w:sz w:val="44"/>
          <w:szCs w:val="28"/>
          <w14:ligatures w14:val="none"/>
        </w:rPr>
      </w:r>
      <w:r/>
    </w:p>
    <w:p>
      <w:pPr>
        <w:ind w:firstLine="880"/>
        <w:keepLines/>
        <w:keepNext/>
        <w:spacing w:after="0" w:line="360" w:lineRule="auto"/>
        <w:widowControl/>
        <w:rPr>
          <w:rFonts w:hint="eastAsia" w:ascii="宋体" w:hAnsi="宋体" w:eastAsia="宋体" w:cs="宋体"/>
          <w:bCs/>
          <w:sz w:val="44"/>
          <w:szCs w:val="28"/>
          <w14:ligatures w14:val="none"/>
        </w:rPr>
        <w:outlineLvl w:val="0"/>
      </w:pPr>
      <w:r>
        <w:rPr>
          <w:rFonts w:hint="eastAsia" w:ascii="宋体" w:hAnsi="宋体" w:eastAsia="宋体" w:cs="宋体"/>
          <w:bCs/>
          <w:sz w:val="44"/>
          <w:szCs w:val="28"/>
          <w14:ligatures w14:val="none"/>
        </w:rPr>
        <w:br w:type="page" w:clear="all"/>
      </w:r>
      <w:r>
        <w:rPr>
          <w:rFonts w:hint="eastAsia" w:ascii="宋体" w:hAnsi="宋体" w:eastAsia="宋体" w:cs="宋体"/>
          <w:bCs/>
          <w:sz w:val="44"/>
          <w:szCs w:val="28"/>
          <w14:ligatures w14:val="none"/>
        </w:rPr>
        <w:t xml:space="preserve">第五章  评标方法与评标标准</w:t>
      </w:r>
      <w:bookmarkEnd w:id="209"/>
      <w:r/>
    </w:p>
    <w:p>
      <w:pPr>
        <w:ind w:firstLine="439"/>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得分最高的供应商为中标候选人。本项目选取1名中标候选人。</w:t>
      </w:r>
      <w:r/>
    </w:p>
    <w:p>
      <w:pPr>
        <w:ind w:firstLine="441"/>
        <w:spacing w:after="0" w:line="360" w:lineRule="auto"/>
        <w:rPr>
          <w:rFonts w:hint="eastAsia" w:ascii="宋体" w:hAnsi="宋体" w:eastAsia="宋体" w:cs="宋体"/>
          <w:b/>
          <w:color w:val="000000"/>
          <w:sz w:val="24"/>
          <w14:ligatures w14:val="none"/>
        </w:rPr>
      </w:pPr>
      <w:r>
        <w:rPr>
          <w:rFonts w:hint="eastAsia" w:ascii="宋体" w:hAnsi="宋体" w:eastAsia="宋体" w:cs="宋体"/>
          <w:b/>
          <w:color w:val="000000"/>
          <w:sz w:val="24"/>
          <w14:ligatures w14:val="none"/>
        </w:rPr>
        <w:t xml:space="preserve">政府采购政策功能落实</w:t>
      </w:r>
      <w:r/>
    </w:p>
    <w:p>
      <w:pPr>
        <w:ind w:firstLine="480"/>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1、小微型企业价格扣除</w:t>
      </w:r>
      <w:r/>
    </w:p>
    <w:p>
      <w:pPr>
        <w:ind w:firstLine="360"/>
        <w:spacing w:after="0" w:line="360" w:lineRule="auto"/>
        <w:rPr>
          <w:rFonts w:hint="eastAsia" w:ascii="宋体" w:hAnsi="宋体" w:eastAsia="宋体" w:cs="宋体"/>
          <w:sz w:val="24"/>
        </w:rPr>
      </w:pPr>
      <w:r>
        <w:rPr>
          <w:rFonts w:hint="eastAsia" w:ascii="宋体" w:hAnsi="宋体" w:eastAsia="宋体" w:cs="宋体"/>
          <w:color w:val="000000"/>
          <w:sz w:val="24"/>
          <w14:ligatures w14:val="none"/>
        </w:rPr>
        <w:t xml:space="preserve">（1）</w:t>
      </w:r>
      <w:r>
        <w:rPr>
          <w:rFonts w:hint="eastAsia" w:ascii="宋体" w:hAnsi="宋体" w:eastAsia="宋体" w:cs="宋体"/>
          <w:sz w:val="24"/>
        </w:rPr>
        <w:t xml:space="preserve">本项目不专门面向中小企业采购，对符合规定的小型和微型企业报价给予</w:t>
      </w:r>
      <w:r>
        <w:rPr>
          <w:rFonts w:hint="eastAsia" w:ascii="宋体" w:hAnsi="宋体" w:eastAsia="宋体" w:cs="宋体"/>
          <w:sz w:val="24"/>
          <w:u w:val="single"/>
        </w:rPr>
        <w:t xml:space="preserve">20%</w:t>
      </w:r>
      <w:r>
        <w:rPr>
          <w:rFonts w:hint="eastAsia" w:ascii="宋体" w:hAnsi="宋体" w:eastAsia="宋体" w:cs="宋体"/>
          <w:sz w:val="24"/>
        </w:rPr>
        <w:t xml:space="preserve">的扣除价格，用扣除后的价格参与评审</w:t>
      </w:r>
      <w:r/>
    </w:p>
    <w:p>
      <w:pPr>
        <w:ind w:firstLine="360"/>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（2）供应商需按照采购文件的要求提供相应的《中小企业声明函》。</w:t>
      </w:r>
      <w:r/>
    </w:p>
    <w:p>
      <w:pPr>
        <w:ind w:firstLine="360"/>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（3）企业标准请参照《关于印发中小企业划型标准规定的通知》（工信部联企业[2011]300号）文件规定自行填写。</w:t>
      </w:r>
      <w:r/>
    </w:p>
    <w:p>
      <w:pPr>
        <w:ind w:firstLine="480"/>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2、残疾人福利单位价格扣除</w:t>
      </w:r>
      <w:r/>
    </w:p>
    <w:p>
      <w:pPr>
        <w:ind w:left="120" w:firstLine="360"/>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（1）本项目对残疾人福利性单位视同小型、微型企业，给予</w:t>
      </w:r>
      <w:r>
        <w:rPr>
          <w:rFonts w:hint="eastAsia" w:ascii="宋体" w:hAnsi="宋体" w:eastAsia="宋体" w:cs="宋体"/>
          <w:color w:val="000000"/>
          <w:sz w:val="24"/>
          <w:u w:val="single"/>
          <w14:ligatures w14:val="none"/>
        </w:rPr>
        <w:t xml:space="preserve">20%</w:t>
      </w:r>
      <w:r>
        <w:rPr>
          <w:rFonts w:hint="eastAsia" w:ascii="宋体" w:hAnsi="宋体" w:eastAsia="宋体" w:cs="宋体"/>
          <w:color w:val="000000"/>
          <w:sz w:val="24"/>
          <w14:ligatures w14:val="none"/>
        </w:rPr>
        <w:t xml:space="preserve">的价格扣除，用扣除后的价格参与评审。</w:t>
      </w:r>
      <w:r/>
    </w:p>
    <w:p>
      <w:pPr>
        <w:ind w:left="120" w:firstLine="360"/>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（2）残疾人福利单位需按照采购文件的要求提供《残疾人福利性单位声明函》。</w:t>
      </w:r>
      <w:r/>
    </w:p>
    <w:p>
      <w:pPr>
        <w:ind w:left="120" w:firstLine="360"/>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（3）残疾人福利单位标准请参照《关于促进残疾人就业政府采购政策的通知》（财库〔2017〕141号）。</w:t>
      </w:r>
      <w:r/>
    </w:p>
    <w:p>
      <w:pPr>
        <w:ind w:firstLine="480"/>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3、监狱和戒毒企业价格扣除</w:t>
      </w:r>
      <w:r/>
    </w:p>
    <w:p>
      <w:pPr>
        <w:ind w:firstLine="480"/>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（1）本项目对监狱和戒毒企业（简称监狱企业）视同小型、微型企业，给予</w:t>
      </w:r>
      <w:r>
        <w:rPr>
          <w:rFonts w:hint="eastAsia" w:ascii="宋体" w:hAnsi="宋体" w:eastAsia="宋体" w:cs="宋体"/>
          <w:color w:val="000000"/>
          <w:sz w:val="24"/>
          <w:u w:val="single"/>
          <w14:ligatures w14:val="none"/>
        </w:rPr>
        <w:t xml:space="preserve">20%</w:t>
      </w:r>
      <w:r>
        <w:rPr>
          <w:rFonts w:hint="eastAsia" w:ascii="宋体" w:hAnsi="宋体" w:eastAsia="宋体" w:cs="宋体"/>
          <w:color w:val="000000"/>
          <w:sz w:val="24"/>
          <w14:ligatures w14:val="none"/>
        </w:rPr>
        <w:t xml:space="preserve">的价格扣除，用扣除后的价格参与评审。</w:t>
      </w:r>
      <w:r/>
    </w:p>
    <w:p>
      <w:pPr>
        <w:ind w:firstLine="480"/>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（3）监狱企业标准请参照《关于政府采购支持监狱企业发展有关问题的通知》（财库[2014]68号）。</w:t>
      </w:r>
      <w:r/>
    </w:p>
    <w:p>
      <w:pPr>
        <w:ind w:firstLine="480"/>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4、残疾人福利单位、监狱企业属于小型、微型企业的，不重复享受政策。</w:t>
      </w:r>
      <w:r/>
    </w:p>
    <w:p>
      <w:pPr>
        <w:ind w:firstLine="480"/>
        <w:spacing w:after="0" w:line="360" w:lineRule="auto"/>
        <w:rPr>
          <w:rFonts w:hint="eastAsia" w:ascii="宋体" w:hAnsi="宋体" w:eastAsia="宋体" w:cs="宋体"/>
          <w:sz w:val="36"/>
          <w:szCs w:val="36"/>
          <w14:ligatures w14:val="none"/>
        </w:rPr>
      </w:pPr>
      <w:r>
        <w:rPr>
          <w:rFonts w:hint="eastAsia" w:ascii="宋体" w:hAnsi="宋体" w:eastAsia="宋体" w:cs="宋体"/>
          <w:sz w:val="24"/>
          <w14:ligatures w14: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4"/>
          <w:u w:val="single"/>
          <w14:ligatures w14:val="none"/>
        </w:rPr>
        <w:t xml:space="preserve">4%</w:t>
      </w:r>
      <w:r>
        <w:rPr>
          <w:rFonts w:hint="eastAsia" w:ascii="宋体" w:hAnsi="宋体" w:eastAsia="宋体" w:cs="宋体"/>
          <w:sz w:val="24"/>
          <w14:ligatures w14:val="none"/>
        </w:rPr>
        <w:t xml:space="preserve">的价格扣除，用扣除后的价格参与评审。</w:t>
      </w:r>
      <w:r/>
    </w:p>
    <w:p>
      <w:pPr>
        <w:ind w:firstLine="480"/>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6、联合体各方均为小型、微型企业（残疾人福利单位、监狱企业）的，联合体享受</w:t>
      </w:r>
      <w:r>
        <w:rPr>
          <w:rFonts w:hint="eastAsia" w:ascii="宋体" w:hAnsi="宋体" w:eastAsia="宋体" w:cs="宋体"/>
          <w:sz w:val="24"/>
          <w:u w:val="single"/>
          <w14:ligatures w14:val="none"/>
        </w:rPr>
        <w:t xml:space="preserve">20%</w:t>
      </w:r>
      <w:r>
        <w:rPr>
          <w:rFonts w:hint="eastAsia" w:ascii="宋体" w:hAnsi="宋体" w:eastAsia="宋体" w:cs="宋体"/>
          <w:sz w:val="24"/>
          <w14:ligatures w14:val="none"/>
        </w:rPr>
        <w:t xml:space="preserve">价格扣除，用扣除后的价格参与评审。</w:t>
      </w:r>
      <w:r/>
    </w:p>
    <w:p>
      <w:pPr>
        <w:ind w:firstLine="480"/>
        <w:spacing w:after="0" w:line="360" w:lineRule="auto"/>
        <w:rPr>
          <w:rFonts w:hint="eastAsia" w:ascii="宋体" w:hAnsi="宋体" w:eastAsia="宋体" w:cs="宋体"/>
        </w:rPr>
      </w:pPr>
      <w:r>
        <w:rPr>
          <w:rFonts w:hint="eastAsia" w:ascii="宋体" w:hAnsi="宋体" w:eastAsia="宋体" w:cs="宋体"/>
          <w:sz w:val="24"/>
        </w:rPr>
        <w:t xml:space="preserve">7、</w:t>
      </w:r>
      <w:r>
        <w:rPr>
          <w:rFonts w:hint="eastAsia" w:ascii="宋体" w:hAnsi="宋体" w:eastAsia="宋体" w:cs="宋体"/>
          <w:sz w:val="24"/>
          <w14:ligatures w14: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黑体" w:hAnsi="黑体" w:eastAsia="黑体" w:cs="黑体"/>
          <w:i/>
          <w:iCs/>
          <w:sz w:val="24"/>
          <w:u w:val="single"/>
          <w14:ligatures w14:val="none"/>
        </w:rPr>
        <w:t xml:space="preserve">如属政府强制采购产品未提供认证证书的或认证证书提供不全的将视为未实质性响应采购要求。</w:t>
      </w:r>
      <w:r>
        <w:rPr>
          <w:rFonts w:hint="eastAsia" w:ascii="宋体" w:hAnsi="宋体" w:eastAsia="宋体" w:cs="宋体"/>
          <w:sz w:val="24"/>
          <w14:ligatures w14:val="none"/>
        </w:rPr>
        <w:t xml:space="preserve">其他条件相同情况下，应当优先采购节能产品、环境标志产品。</w:t>
      </w:r>
      <w:bookmarkEnd w:id="210"/>
      <w:r/>
    </w:p>
    <w:p>
      <w:pPr>
        <w:rPr>
          <w:rFonts w:hint="eastAsia" w:ascii="宋体" w:hAnsi="宋体" w:eastAsia="宋体" w:cs="宋体"/>
          <w:b/>
          <w:color w:val="000000"/>
          <w:sz w:val="24"/>
          <w14:ligatures w14:val="none"/>
        </w:rPr>
      </w:pPr>
      <w:r/>
      <w:bookmarkStart w:id="211" w:name="OLE_LINK76"/>
      <w:r>
        <w:rPr>
          <w:rFonts w:hint="eastAsia" w:ascii="宋体" w:hAnsi="宋体" w:eastAsia="宋体" w:cs="宋体"/>
          <w:b/>
          <w:color w:val="000000"/>
          <w:sz w:val="24"/>
          <w14:ligatures w14:val="none"/>
        </w:rPr>
        <w:br w:type="page" w:clear="all"/>
      </w:r>
      <w:r/>
    </w:p>
    <w:p>
      <w:pPr>
        <w:spacing w:after="0" w:line="360" w:lineRule="auto"/>
        <w:rPr>
          <w:rFonts w:hint="eastAsia" w:ascii="宋体" w:hAnsi="宋体" w:eastAsia="宋体" w:cs="宋体"/>
          <w:b/>
          <w:color w:val="000000"/>
          <w:sz w:val="24"/>
          <w14:ligatures w14:val="none"/>
        </w:rPr>
      </w:pPr>
      <w:r>
        <w:rPr>
          <w:rFonts w:hint="eastAsia" w:ascii="宋体" w:hAnsi="宋体" w:eastAsia="宋体" w:cs="宋体"/>
          <w:b/>
          <w:color w:val="000000"/>
          <w:sz w:val="24"/>
          <w14:ligatures w14:val="none"/>
        </w:rPr>
        <w:t xml:space="preserve">评标方法与评标标准</w:t>
      </w:r>
      <w:bookmarkEnd w:id="211"/>
      <w:r/>
    </w:p>
    <w:tbl>
      <w:tblPr>
        <w:tblStyle w:val="790"/>
        <w:tblpPr w:horzAnchor="page" w:tblpX="1704" w:vertAnchor="text" w:tblpY="938" w:leftFromText="180" w:topFromText="0" w:rightFromText="180" w:bottomFromText="0"/>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2110"/>
        <w:gridCol w:w="6429"/>
      </w:tblGrid>
      <w:tr>
        <w:trPr>
          <w:trHeight w:val="315"/>
        </w:trPr>
        <w:tc>
          <w:tcPr>
            <w:tcW w:w="658" w:type="dxa"/>
            <w:vAlign w:val="center"/>
            <w:textDirection w:val="lrTb"/>
            <w:noWrap w:val="false"/>
          </w:tcPr>
          <w:p>
            <w:pPr>
              <w:jc w:val="center"/>
              <w:widowControl/>
              <w:rPr>
                <w:rFonts w:hint="eastAsia" w:ascii="宋体" w:hAnsi="宋体" w:eastAsia="宋体" w:cs="宋体"/>
                <w:b/>
                <w:bCs/>
                <w:color w:val="000000"/>
                <w:sz w:val="24"/>
              </w:rPr>
            </w:pPr>
            <w:r/>
            <w:bookmarkStart w:id="212" w:name="_Toc12016"/>
            <w:r>
              <w:rPr>
                <w:rFonts w:hint="eastAsia" w:ascii="宋体" w:hAnsi="宋体" w:eastAsia="宋体" w:cs="宋体"/>
                <w:b/>
                <w:bCs/>
                <w:color w:val="000000"/>
                <w:sz w:val="24"/>
                <w:lang w:bidi="ar"/>
              </w:rPr>
              <w:t xml:space="preserve">序号</w:t>
            </w:r>
            <w:r/>
          </w:p>
        </w:tc>
        <w:tc>
          <w:tcPr>
            <w:tcW w:w="2110" w:type="dxa"/>
            <w:vAlign w:val="center"/>
            <w:textDirection w:val="lrTb"/>
            <w:noWrap w:val="false"/>
          </w:tcPr>
          <w:p>
            <w:pPr>
              <w:jc w:val="center"/>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评审项目</w:t>
            </w:r>
            <w:r/>
          </w:p>
        </w:tc>
        <w:tc>
          <w:tcPr>
            <w:tcW w:w="6429" w:type="dxa"/>
            <w:vAlign w:val="center"/>
            <w:textDirection w:val="lrTb"/>
            <w:noWrap w:val="false"/>
          </w:tcPr>
          <w:p>
            <w:pPr>
              <w:jc w:val="center"/>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评分标准</w:t>
            </w:r>
            <w:r/>
          </w:p>
        </w:tc>
      </w:tr>
      <w:tr>
        <w:trPr>
          <w:trHeight w:val="940"/>
        </w:trPr>
        <w:tc>
          <w:tcPr>
            <w:tcW w:w="658"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一</w:t>
            </w:r>
            <w:r/>
          </w:p>
        </w:tc>
        <w:tc>
          <w:tcPr>
            <w:tcW w:w="2110"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投标报价</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（50分）</w:t>
            </w:r>
            <w:r/>
          </w:p>
        </w:tc>
        <w:tc>
          <w:tcPr>
            <w:tcW w:w="6429" w:type="dxa"/>
            <w:vAlign w:val="center"/>
            <w:textDirection w:val="lrTb"/>
            <w:noWrap w:val="false"/>
          </w:tcPr>
          <w:p>
            <w:pP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采用低价优先法计算价格得分，即满足采购文件要求且投标价格最低的供应商投标报价为评标基准价，其价格分为满分50分，其它供应商的价格分统一按照以下公式计算：投标报价得分=（评标基准价/该供应商的投标报价）×50分。分值保留小数点后2位。</w:t>
            </w:r>
            <w:r/>
          </w:p>
        </w:tc>
      </w:tr>
      <w:tr>
        <w:trPr>
          <w:trHeight w:val="2415"/>
        </w:trPr>
        <w:tc>
          <w:tcPr>
            <w:tcW w:w="658"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二</w:t>
            </w:r>
            <w:r/>
          </w:p>
        </w:tc>
        <w:tc>
          <w:tcPr>
            <w:tcW w:w="2110"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技术得分</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（30分）  </w:t>
            </w:r>
            <w:r/>
          </w:p>
        </w:tc>
        <w:tc>
          <w:tcPr>
            <w:tcW w:w="6429" w:type="dxa"/>
            <w:vAlign w:val="center"/>
            <w:textDirection w:val="lrTb"/>
            <w:noWrap w:val="false"/>
          </w:tcPr>
          <w:p>
            <w:pP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评标委员会根据投标文件中技术部分的应答对投标产品性能进行评审，包括但不限于技术证明材料、产品性能描述、技术偏离表等。</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1.供应商所投产品技术参数完全响应招标文件要求的，无负偏离的，得30分。</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2.带“▲”标识的为重要技术参数指标（共30分），每有一项不满足扣2分。</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3.</w:t>
            </w:r>
            <w:r>
              <w:rPr>
                <w:rFonts w:hint="eastAsia" w:ascii="宋体" w:hAnsi="宋体" w:eastAsia="宋体" w:cs="宋体"/>
                <w:b/>
                <w:bCs/>
                <w:i/>
                <w:iCs/>
                <w:color w:val="000000"/>
                <w:sz w:val="24"/>
                <w:u w:val="single"/>
                <w:lang w:bidi="ar"/>
              </w:rPr>
              <w:t xml:space="preserve">除“▲”标识外的其他技术参数指标不可负偏离，负偏离作无效标处理。</w:t>
            </w:r>
            <w:r/>
          </w:p>
        </w:tc>
      </w:tr>
      <w:tr>
        <w:trPr>
          <w:trHeight w:val="1868"/>
        </w:trPr>
        <w:tc>
          <w:tcPr>
            <w:tcW w:w="658" w:type="dxa"/>
            <w:vAlign w:val="center"/>
            <w:textDirection w:val="lrTb"/>
            <w:noWrap w:val="false"/>
          </w:tcPr>
          <w:p>
            <w:pPr>
              <w:jc w:val="center"/>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bidi="ar"/>
              </w:rPr>
              <w:t xml:space="preserve">三</w:t>
            </w:r>
            <w:r/>
          </w:p>
        </w:tc>
        <w:tc>
          <w:tcPr>
            <w:tcW w:w="2110"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教研师训及售后（服务运营）方案</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w:t>
            </w:r>
            <w:r>
              <w:rPr>
                <w:rFonts w:hint="eastAsia" w:ascii="宋体" w:hAnsi="宋体" w:eastAsia="宋体" w:cs="宋体"/>
                <w:color w:val="000000"/>
                <w:sz w:val="24"/>
                <w:lang w:val="en-US" w:eastAsia="zh-CN" w:bidi="ar"/>
              </w:rPr>
              <w:t xml:space="preserve">5</w:t>
            </w:r>
            <w:r>
              <w:rPr>
                <w:rFonts w:hint="eastAsia" w:ascii="宋体" w:hAnsi="宋体" w:eastAsia="宋体" w:cs="宋体"/>
                <w:color w:val="000000"/>
                <w:sz w:val="24"/>
                <w:lang w:bidi="ar"/>
              </w:rPr>
              <w:t xml:space="preserve">分）</w:t>
            </w:r>
            <w:r/>
          </w:p>
        </w:tc>
        <w:tc>
          <w:tcPr>
            <w:tcW w:w="6429" w:type="dxa"/>
            <w:vAlign w:val="center"/>
            <w:textDirection w:val="lrTb"/>
            <w:noWrap w:val="false"/>
          </w:tcPr>
          <w:p>
            <w:pP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投标人根据采购文件第四章“采购需求”的“商务要求”中“教研师训及售后（服务运营）要求”</w:t>
            </w:r>
            <w:r>
              <w:rPr>
                <w:rFonts w:hint="eastAsia" w:ascii="宋体" w:hAnsi="宋体" w:eastAsia="宋体" w:cs="宋体"/>
                <w:color w:val="000000"/>
                <w:sz w:val="24"/>
                <w:lang w:val="en-US" w:eastAsia="zh-CN" w:bidi="ar"/>
              </w:rPr>
              <w:t xml:space="preserve">的“设备巡检人员”、“技术保障人员”</w:t>
            </w:r>
            <w:r>
              <w:rPr>
                <w:rFonts w:hint="eastAsia" w:ascii="宋体" w:hAnsi="宋体" w:eastAsia="宋体" w:cs="宋体"/>
                <w:color w:val="000000"/>
                <w:sz w:val="24"/>
                <w:lang w:bidi="ar"/>
              </w:rPr>
              <w:t xml:space="preserve">提供有针对性的、可操作性的、科学合理的方案，评委根据投标人提供的针对本项目方案进行综合评分。方案优于本项目需求的得</w:t>
            </w:r>
            <w:r>
              <w:rPr>
                <w:rFonts w:hint="eastAsia" w:ascii="宋体" w:hAnsi="宋体" w:eastAsia="宋体" w:cs="宋体"/>
                <w:color w:val="000000"/>
                <w:sz w:val="24"/>
                <w:lang w:val="en-US" w:eastAsia="zh-CN" w:bidi="ar"/>
              </w:rPr>
              <w:t xml:space="preserve">5</w:t>
            </w:r>
            <w:r>
              <w:rPr>
                <w:rFonts w:hint="eastAsia" w:ascii="宋体" w:hAnsi="宋体" w:eastAsia="宋体" w:cs="宋体"/>
                <w:color w:val="000000"/>
                <w:sz w:val="24"/>
                <w:lang w:bidi="ar"/>
              </w:rPr>
              <w:t xml:space="preserve">分；符合项目需求的得</w:t>
            </w:r>
            <w:r>
              <w:rPr>
                <w:rFonts w:hint="eastAsia" w:ascii="宋体" w:hAnsi="宋体" w:eastAsia="宋体" w:cs="宋体"/>
                <w:color w:val="000000"/>
                <w:sz w:val="24"/>
                <w:lang w:val="en-US" w:eastAsia="zh-CN" w:bidi="ar"/>
              </w:rPr>
              <w:t xml:space="preserve">3</w:t>
            </w:r>
            <w:r>
              <w:rPr>
                <w:rFonts w:hint="eastAsia" w:ascii="宋体" w:hAnsi="宋体" w:eastAsia="宋体" w:cs="宋体"/>
                <w:color w:val="000000"/>
                <w:sz w:val="24"/>
                <w:lang w:bidi="ar"/>
              </w:rPr>
              <w:t xml:space="preserve">分；不符合要求或未提供的不得分。</w:t>
            </w:r>
            <w:r/>
          </w:p>
        </w:tc>
      </w:tr>
      <w:tr>
        <w:trPr>
          <w:trHeight w:val="2691"/>
        </w:trPr>
        <w:tc>
          <w:tcPr>
            <w:tcW w:w="658" w:type="dxa"/>
            <w:vAlign w:val="center"/>
            <w:textDirection w:val="lrTb"/>
            <w:noWrap w:val="false"/>
          </w:tcPr>
          <w:p>
            <w:pPr>
              <w:jc w:val="center"/>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bidi="ar"/>
              </w:rPr>
              <w:t xml:space="preserve">四</w:t>
            </w:r>
            <w:r/>
          </w:p>
        </w:tc>
        <w:tc>
          <w:tcPr>
            <w:tcW w:w="2110"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实施组织方案</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w:t>
            </w:r>
            <w:r>
              <w:rPr>
                <w:rFonts w:hint="eastAsia" w:ascii="宋体" w:hAnsi="宋体" w:eastAsia="宋体" w:cs="宋体"/>
                <w:color w:val="000000"/>
                <w:sz w:val="24"/>
                <w:lang w:val="en-US" w:eastAsia="zh-CN" w:bidi="ar"/>
              </w:rPr>
              <w:t xml:space="preserve">5</w:t>
            </w:r>
            <w:r>
              <w:rPr>
                <w:rFonts w:hint="eastAsia" w:ascii="宋体" w:hAnsi="宋体" w:eastAsia="宋体" w:cs="宋体"/>
                <w:color w:val="000000"/>
                <w:sz w:val="24"/>
                <w:lang w:bidi="ar"/>
              </w:rPr>
              <w:t xml:space="preserve">分）</w:t>
            </w:r>
            <w:r/>
          </w:p>
        </w:tc>
        <w:tc>
          <w:tcPr>
            <w:tcW w:w="6429" w:type="dxa"/>
            <w:vAlign w:val="center"/>
            <w:textDirection w:val="lrTb"/>
            <w:noWrap w:val="false"/>
          </w:tcPr>
          <w:p>
            <w:pPr>
              <w:widowControl/>
              <w:rPr>
                <w:rFonts w:hint="eastAsia" w:ascii="宋体" w:hAnsi="宋体" w:eastAsia="宋体" w:cs="宋体"/>
                <w:color w:val="000000"/>
                <w:sz w:val="24"/>
                <w:lang w:val="en-US" w:eastAsia="zh-CN" w:bidi="ar"/>
              </w:rPr>
            </w:pPr>
            <w:r>
              <w:rPr>
                <w:rFonts w:hint="eastAsia" w:ascii="宋体" w:hAnsi="宋体" w:eastAsia="宋体" w:cs="宋体"/>
                <w:color w:val="000000"/>
                <w:sz w:val="24"/>
                <w:lang w:bidi="ar"/>
              </w:rPr>
              <w:t xml:space="preserve">投标人根据采购文件第四章“采购需求”的“商务要求”中“实施组织要求”</w:t>
            </w:r>
            <w:r>
              <w:rPr>
                <w:rFonts w:hint="eastAsia" w:ascii="宋体" w:hAnsi="宋体" w:eastAsia="宋体" w:cs="宋体"/>
                <w:color w:val="000000"/>
                <w:sz w:val="24"/>
                <w:lang w:val="en-US" w:eastAsia="zh-CN" w:bidi="ar"/>
              </w:rPr>
              <w:t xml:space="preserve">的“试运行测试方案”、“安全保障”</w:t>
            </w:r>
            <w:r>
              <w:rPr>
                <w:rFonts w:hint="eastAsia" w:ascii="宋体" w:hAnsi="宋体" w:eastAsia="宋体" w:cs="宋体"/>
                <w:color w:val="000000"/>
                <w:sz w:val="24"/>
                <w:lang w:bidi="ar"/>
              </w:rPr>
              <w:t xml:space="preserve">提供有针对性的、可操作性的、科学合理的方案，评委根据投标人提供的针对本项目方案进行综合评分。</w:t>
            </w:r>
            <w:r>
              <w:rPr>
                <w:rFonts w:hint="eastAsia" w:ascii="宋体" w:hAnsi="宋体" w:eastAsia="宋体" w:cs="宋体"/>
                <w:color w:val="000000"/>
                <w:sz w:val="24"/>
                <w:lang w:val="en-US" w:eastAsia="zh-CN" w:bidi="ar"/>
              </w:rPr>
              <w:t xml:space="preserve">满足</w:t>
            </w:r>
            <w:r>
              <w:rPr>
                <w:rFonts w:hint="eastAsia" w:ascii="宋体" w:hAnsi="宋体" w:eastAsia="宋体" w:cs="宋体"/>
                <w:color w:val="000000"/>
                <w:sz w:val="24"/>
                <w:lang w:bidi="ar"/>
              </w:rPr>
              <w:t xml:space="preserve">项目需求的得</w:t>
            </w:r>
            <w:r>
              <w:rPr>
                <w:rFonts w:hint="eastAsia" w:ascii="宋体" w:hAnsi="宋体" w:eastAsia="宋体" w:cs="宋体"/>
                <w:color w:val="000000"/>
                <w:sz w:val="24"/>
                <w:lang w:val="en-US" w:eastAsia="zh-CN" w:bidi="ar"/>
              </w:rPr>
              <w:t xml:space="preserve">5</w:t>
            </w:r>
            <w:r>
              <w:rPr>
                <w:rFonts w:hint="eastAsia" w:ascii="宋体" w:hAnsi="宋体" w:eastAsia="宋体" w:cs="宋体"/>
                <w:color w:val="000000"/>
                <w:sz w:val="24"/>
                <w:lang w:bidi="ar"/>
              </w:rPr>
              <w:t xml:space="preserve">分；</w:t>
            </w:r>
            <w:r>
              <w:rPr>
                <w:rFonts w:hint="eastAsia" w:ascii="宋体" w:hAnsi="宋体" w:eastAsia="宋体" w:cs="宋体"/>
                <w:color w:val="000000"/>
                <w:sz w:val="24"/>
                <w:lang w:val="en-US" w:eastAsia="zh-CN" w:bidi="ar"/>
              </w:rPr>
              <w:t xml:space="preserve">上述内容有缺项，内容合理性一般，措施简单粗糙，可操作性不强，基本能够满足本项目需求的得3分。</w:t>
            </w:r>
            <w:r/>
          </w:p>
          <w:p>
            <w:pPr>
              <w:widowControl/>
              <w:rPr>
                <w:rFonts w:hint="default" w:ascii="宋体" w:hAnsi="宋体" w:eastAsia="宋体" w:cs="宋体"/>
                <w:color w:val="000000"/>
                <w:sz w:val="24"/>
                <w:lang w:val="en-US" w:eastAsia="zh-CN" w:bidi="ar"/>
              </w:rPr>
            </w:pPr>
            <w:r>
              <w:rPr>
                <w:rFonts w:hint="default" w:ascii="宋体" w:hAnsi="宋体" w:eastAsia="宋体" w:cs="宋体"/>
                <w:color w:val="000000"/>
                <w:sz w:val="24"/>
                <w:lang w:val="en-US" w:eastAsia="zh-CN" w:bidi="ar"/>
              </w:rPr>
            </w:r>
            <w:r/>
          </w:p>
        </w:tc>
      </w:tr>
      <w:tr>
        <w:trPr>
          <w:trHeight w:val="1500"/>
        </w:trPr>
        <w:tc>
          <w:tcPr>
            <w:tcW w:w="658" w:type="dxa"/>
            <w:vAlign w:val="center"/>
            <w:textDirection w:val="lrTb"/>
            <w:noWrap w:val="false"/>
          </w:tcPr>
          <w:p>
            <w:pPr>
              <w:jc w:val="center"/>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五</w:t>
            </w:r>
            <w:r/>
          </w:p>
        </w:tc>
        <w:tc>
          <w:tcPr>
            <w:tcW w:w="2110" w:type="dxa"/>
            <w:vAlign w:val="center"/>
            <w:textDirection w:val="lrTb"/>
            <w:noWrap w:val="false"/>
          </w:tcPr>
          <w:p>
            <w:pPr>
              <w:jc w:val="center"/>
              <w:widowControl/>
              <w:rPr>
                <w:rFonts w:hint="eastAsia" w:ascii="宋体" w:hAnsi="宋体" w:eastAsia="宋体" w:cs="宋体"/>
                <w:color w:val="000000"/>
                <w:sz w:val="24"/>
                <w:lang w:bidi="ar"/>
              </w:rPr>
            </w:pPr>
            <w:r>
              <w:rPr>
                <w:rFonts w:hint="eastAsia" w:ascii="宋体" w:hAnsi="宋体" w:eastAsia="宋体" w:cs="宋体"/>
                <w:color w:val="000000"/>
                <w:sz w:val="24"/>
                <w:lang w:val="en-US" w:eastAsia="zh-CN" w:bidi="ar"/>
              </w:rPr>
              <w:t xml:space="preserve">质保期</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w:t>
            </w:r>
            <w:r>
              <w:rPr>
                <w:rFonts w:hint="eastAsia" w:ascii="宋体" w:hAnsi="宋体" w:eastAsia="宋体" w:cs="宋体"/>
                <w:color w:val="000000"/>
                <w:sz w:val="24"/>
                <w:lang w:val="en-US" w:eastAsia="zh-CN" w:bidi="ar"/>
              </w:rPr>
              <w:t xml:space="preserve">4</w:t>
            </w:r>
            <w:r>
              <w:rPr>
                <w:rFonts w:hint="eastAsia" w:ascii="宋体" w:hAnsi="宋体" w:eastAsia="宋体" w:cs="宋体"/>
                <w:color w:val="000000"/>
                <w:sz w:val="24"/>
                <w:lang w:bidi="ar"/>
              </w:rPr>
              <w:t xml:space="preserve">分）</w:t>
            </w:r>
            <w:r/>
          </w:p>
        </w:tc>
        <w:tc>
          <w:tcPr>
            <w:tcW w:w="6429" w:type="dxa"/>
            <w:vAlign w:val="center"/>
            <w:textDirection w:val="lrTb"/>
            <w:noWrap w:val="false"/>
          </w:tcPr>
          <w:p>
            <w:pPr>
              <w:widowControl/>
              <w:rPr>
                <w:rFonts w:hint="eastAsia" w:ascii="宋体" w:hAnsi="宋体" w:eastAsia="宋体" w:cs="宋体"/>
                <w:color w:val="000000"/>
                <w:sz w:val="24"/>
                <w:lang w:bidi="ar"/>
              </w:rPr>
            </w:pPr>
            <w:r>
              <w:rPr>
                <w:rFonts w:hint="eastAsia" w:ascii="宋体" w:hAnsi="宋体" w:eastAsia="宋体" w:cs="宋体"/>
                <w:color w:val="000000"/>
                <w:sz w:val="24"/>
                <w:lang w:val="en-US" w:eastAsia="zh-CN" w:bidi="ar"/>
              </w:rPr>
              <w:t xml:space="preserve">在招标文件要求质保期（5年）的基础上，每增加一年得2分，最高得4分。（投标文件中提供加盖投标人公章的承诺函，须明确质保年限，否则不得分）</w:t>
            </w:r>
            <w:r/>
          </w:p>
        </w:tc>
      </w:tr>
      <w:tr>
        <w:trPr>
          <w:trHeight w:val="1880"/>
        </w:trPr>
        <w:tc>
          <w:tcPr>
            <w:tcW w:w="658" w:type="dxa"/>
            <w:vAlign w:val="center"/>
            <w:textDirection w:val="lrTb"/>
            <w:noWrap w:val="false"/>
          </w:tcPr>
          <w:p>
            <w:pPr>
              <w:jc w:val="center"/>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六</w:t>
            </w:r>
            <w:r/>
          </w:p>
        </w:tc>
        <w:tc>
          <w:tcPr>
            <w:tcW w:w="2110"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履约能力（4分）</w:t>
            </w:r>
            <w:r/>
          </w:p>
        </w:tc>
        <w:tc>
          <w:tcPr>
            <w:tcW w:w="6429" w:type="dxa"/>
            <w:vAlign w:val="center"/>
            <w:textDirection w:val="lrTb"/>
            <w:noWrap w:val="false"/>
          </w:tcPr>
          <w:p>
            <w:pP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（1）供应商或制造商具有2022年1月1日以来具有类似项目建设业绩。该“类似项目业绩”的细化、量化指标是：</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①主要产品应当包括视频采集终端、AI评分系统、管理系统；</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须提供类似项目的政府采购项目合同，以合同签订时间为准，每个得1分，最高2分，证明材料不提供或提供不全、项目要求不符的的不得分（证明材料可提供复印件）。</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（2）供应商拟投入的建设项目团队具有信息系统项目管理师证书、系统集成项目管理工程师证书，每提供1份证书得1分，最高得2分。</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注：①同一类型证书、同一人证书不重复计分；②投标时需提供供应商近半年以来任意一个月为项目团队人员缴纳社保的证明材料，否则不计分。</w:t>
            </w:r>
            <w:r/>
          </w:p>
        </w:tc>
      </w:tr>
      <w:tr>
        <w:trPr>
          <w:trHeight w:val="353"/>
        </w:trPr>
        <w:tc>
          <w:tcPr>
            <w:tcW w:w="658" w:type="dxa"/>
            <w:vAlign w:val="center"/>
            <w:textDirection w:val="lrTb"/>
            <w:noWrap w:val="false"/>
          </w:tcPr>
          <w:p>
            <w:pPr>
              <w:jc w:val="center"/>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bidi="ar"/>
              </w:rPr>
              <w:t xml:space="preserve">七</w:t>
            </w:r>
            <w:r/>
          </w:p>
        </w:tc>
        <w:tc>
          <w:tcPr>
            <w:tcW w:w="2110"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节能</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(1分)</w:t>
            </w:r>
            <w:r/>
          </w:p>
        </w:tc>
        <w:tc>
          <w:tcPr>
            <w:tcW w:w="6429" w:type="dxa"/>
            <w:vAlign w:val="center"/>
            <w:textDirection w:val="lrTb"/>
            <w:noWrap w:val="false"/>
          </w:tcPr>
          <w:p>
            <w:pP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投标产品属于财政部、国家发改委公布的“节能产品品目清单”范围内的,供应商提供国家确定的认证机构出具的、处于有效期之内的该节能产品认证证书复印件的，有1个得0.5分，最多得1分。如投标产品均属于政府强制采购节能产品品目清单范围内，本项不得分。</w:t>
            </w:r>
            <w:r/>
          </w:p>
        </w:tc>
      </w:tr>
      <w:tr>
        <w:trPr>
          <w:trHeight w:val="615"/>
        </w:trPr>
        <w:tc>
          <w:tcPr>
            <w:tcW w:w="658" w:type="dxa"/>
            <w:vAlign w:val="center"/>
            <w:textDirection w:val="lrTb"/>
            <w:noWrap w:val="false"/>
          </w:tcPr>
          <w:p>
            <w:pPr>
              <w:jc w:val="center"/>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bidi="ar"/>
              </w:rPr>
              <w:t xml:space="preserve">八</w:t>
            </w:r>
            <w:r/>
          </w:p>
        </w:tc>
        <w:tc>
          <w:tcPr>
            <w:tcW w:w="2110"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环保</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(1分)</w:t>
            </w:r>
            <w:r/>
          </w:p>
        </w:tc>
        <w:tc>
          <w:tcPr>
            <w:tcW w:w="6429" w:type="dxa"/>
            <w:vAlign w:val="center"/>
            <w:textDirection w:val="lrTb"/>
            <w:noWrap w:val="false"/>
          </w:tcPr>
          <w:p>
            <w:pP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投标产品属于财政部、生态环境部公布的“环境标志产品品目清单”范围内的，供应商提供国家确定的认证机构出具的、处于有效期内的该环保产品认证证书复印件的，有1个得0.5分，最多得1分。</w:t>
            </w:r>
            <w:r/>
          </w:p>
        </w:tc>
      </w:tr>
    </w:tbl>
    <w:p>
      <w:pPr>
        <w:jc w:val="both"/>
        <w:spacing w:after="0" w:line="360" w:lineRule="auto"/>
        <w:rPr>
          <w:rFonts w:hint="eastAsia" w:ascii="宋体" w:hAnsi="宋体" w:eastAsia="宋体" w:cs="宋体"/>
          <w:bCs/>
          <w:sz w:val="24"/>
          <w14:ligatures w14:val="none"/>
        </w:rPr>
      </w:pPr>
      <w:r>
        <w:rPr>
          <w:rFonts w:hint="eastAsia" w:ascii="宋体" w:hAnsi="宋体" w:eastAsia="宋体" w:cs="宋体"/>
          <w:bCs/>
          <w:sz w:val="24"/>
          <w14:ligatures w14:val="none"/>
        </w:rPr>
        <w:t xml:space="preserve">本项目评分总分值为100分。</w:t>
      </w:r>
      <w:r/>
    </w:p>
    <w:p>
      <w:pPr>
        <w:jc w:val="both"/>
        <w:spacing w:after="0" w:line="240" w:lineRule="auto"/>
        <w:widowControl/>
        <w:rPr>
          <w:rFonts w:hint="eastAsia" w:ascii="宋体" w:hAnsi="宋体" w:eastAsia="宋体" w:cs="宋体"/>
          <w:sz w:val="21"/>
          <w14:ligatures w14:val="none"/>
        </w:rPr>
      </w:pPr>
      <w:r>
        <w:rPr>
          <w:rFonts w:hint="eastAsia" w:ascii="宋体" w:hAnsi="宋体" w:eastAsia="宋体" w:cs="宋体"/>
          <w:b/>
          <w:bCs/>
          <w:color w:val="000000"/>
          <w:sz w:val="24"/>
          <w:lang w:bidi="ar"/>
          <w14:ligatures w14:val="none"/>
        </w:rPr>
        <w:br w:type="page" w:clear="all"/>
      </w:r>
      <w:r>
        <w:rPr>
          <w:rFonts w:hint="eastAsia" w:ascii="宋体" w:hAnsi="宋体" w:eastAsia="宋体" w:cs="宋体"/>
          <w:b/>
          <w:bCs/>
          <w:color w:val="000000"/>
          <w:sz w:val="24"/>
          <w:lang w:bidi="ar"/>
          <w14:ligatures w14:val="none"/>
        </w:rPr>
        <w:t xml:space="preserve">强制采购节能产品信息</w:t>
      </w:r>
      <w:r/>
    </w:p>
    <w:tbl>
      <w:tblPr>
        <w:tblStyle w:val="790"/>
        <w:tblW w:w="89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397"/>
        <w:gridCol w:w="1873"/>
        <w:gridCol w:w="2318"/>
        <w:gridCol w:w="1624"/>
      </w:tblGrid>
      <w:tr>
        <w:trPr>
          <w:trHeight w:val="1119"/>
        </w:trPr>
        <w:tc>
          <w:tcPr>
            <w:tcW w:w="745" w:type="dxa"/>
            <w:vAlign w:val="center"/>
            <w:textDirection w:val="lrTb"/>
            <w:noWrap w:val="false"/>
          </w:tcPr>
          <w:p>
            <w:pPr>
              <w:jc w:val="center"/>
              <w:spacing w:after="0" w:line="240" w:lineRule="auto"/>
              <w:widowControl/>
              <w:rPr>
                <w:rFonts w:hint="eastAsia" w:ascii="宋体" w:hAnsi="宋体" w:eastAsia="宋体" w:cs="宋体"/>
                <w:sz w:val="24"/>
                <w14:ligatures w14:val="none"/>
              </w:rPr>
            </w:pPr>
            <w:r>
              <w:rPr>
                <w:rFonts w:hint="eastAsia" w:ascii="宋体" w:hAnsi="宋体" w:eastAsia="宋体" w:cs="宋体"/>
                <w:b/>
                <w:bCs/>
                <w:color w:val="000000"/>
                <w:sz w:val="24"/>
                <w:lang w:bidi="ar"/>
                <w14:ligatures w14:val="none"/>
              </w:rPr>
              <w:t xml:space="preserve">序号</w:t>
            </w:r>
            <w:r/>
          </w:p>
        </w:tc>
        <w:tc>
          <w:tcPr>
            <w:tcW w:w="2397" w:type="dxa"/>
            <w:vAlign w:val="center"/>
            <w:textDirection w:val="lrTb"/>
            <w:noWrap w:val="false"/>
          </w:tcPr>
          <w:p>
            <w:pPr>
              <w:jc w:val="center"/>
              <w:spacing w:after="0" w:line="240" w:lineRule="auto"/>
              <w:widowControl/>
              <w:rPr>
                <w:rFonts w:hint="eastAsia" w:ascii="宋体" w:hAnsi="宋体" w:eastAsia="宋体" w:cs="宋体"/>
                <w:sz w:val="24"/>
                <w14:ligatures w14:val="none"/>
              </w:rPr>
            </w:pPr>
            <w:r>
              <w:rPr>
                <w:rFonts w:hint="eastAsia" w:ascii="宋体" w:hAnsi="宋体" w:eastAsia="宋体" w:cs="宋体"/>
                <w:b/>
                <w:bCs/>
                <w:color w:val="000000"/>
                <w:sz w:val="24"/>
                <w:lang w:bidi="ar"/>
                <w14:ligatures w14:val="none"/>
              </w:rPr>
              <w:t xml:space="preserve">招标文件产品名称</w:t>
            </w:r>
            <w:r/>
          </w:p>
        </w:tc>
        <w:tc>
          <w:tcPr>
            <w:tcW w:w="1873" w:type="dxa"/>
            <w:vAlign w:val="center"/>
            <w:textDirection w:val="lrTb"/>
            <w:noWrap w:val="false"/>
          </w:tcPr>
          <w:p>
            <w:pPr>
              <w:jc w:val="center"/>
              <w:spacing w:after="0" w:line="240" w:lineRule="auto"/>
              <w:widowControl/>
              <w:rPr>
                <w:rFonts w:hint="eastAsia" w:ascii="宋体" w:hAnsi="宋体" w:eastAsia="宋体" w:cs="宋体"/>
                <w:sz w:val="24"/>
                <w14:ligatures w14:val="none"/>
              </w:rPr>
            </w:pPr>
            <w:r>
              <w:rPr>
                <w:rFonts w:hint="eastAsia" w:ascii="宋体" w:hAnsi="宋体" w:eastAsia="宋体" w:cs="宋体"/>
                <w:b/>
                <w:bCs/>
                <w:color w:val="000000"/>
                <w:sz w:val="24"/>
                <w:lang w:bidi="ar"/>
                <w14:ligatures w14:val="none"/>
              </w:rPr>
              <w:t xml:space="preserve">投标产品名称</w:t>
            </w:r>
            <w:r/>
          </w:p>
        </w:tc>
        <w:tc>
          <w:tcPr>
            <w:tcW w:w="2318" w:type="dxa"/>
            <w:vAlign w:val="center"/>
            <w:textDirection w:val="lrTb"/>
            <w:noWrap w:val="false"/>
          </w:tcPr>
          <w:p>
            <w:pPr>
              <w:jc w:val="center"/>
              <w:spacing w:after="0" w:line="240" w:lineRule="auto"/>
              <w:widowControl/>
              <w:rPr>
                <w:rFonts w:hint="eastAsia" w:ascii="宋体" w:hAnsi="宋体" w:eastAsia="宋体" w:cs="宋体"/>
                <w:sz w:val="24"/>
                <w14:ligatures w14:val="none"/>
              </w:rPr>
            </w:pPr>
            <w:r>
              <w:rPr>
                <w:rFonts w:hint="eastAsia" w:ascii="宋体" w:hAnsi="宋体" w:eastAsia="宋体" w:cs="宋体"/>
                <w:b/>
                <w:bCs/>
                <w:color w:val="000000"/>
                <w:sz w:val="24"/>
                <w:lang w:bidi="ar"/>
                <w14:ligatures w14:val="none"/>
              </w:rPr>
              <w:t xml:space="preserve">投标产品规格型号</w:t>
            </w:r>
            <w:r/>
          </w:p>
        </w:tc>
        <w:tc>
          <w:tcPr>
            <w:tcW w:w="1624" w:type="dxa"/>
            <w:vAlign w:val="center"/>
            <w:textDirection w:val="lrTb"/>
            <w:noWrap w:val="false"/>
          </w:tcPr>
          <w:p>
            <w:pPr>
              <w:jc w:val="center"/>
              <w:spacing w:after="0" w:line="240" w:lineRule="auto"/>
              <w:widowControl/>
              <w:rPr>
                <w:rFonts w:hint="eastAsia" w:ascii="宋体" w:hAnsi="宋体" w:eastAsia="宋体" w:cs="宋体"/>
                <w:sz w:val="24"/>
                <w14:ligatures w14:val="none"/>
              </w:rPr>
            </w:pPr>
            <w:r>
              <w:rPr>
                <w:rFonts w:hint="eastAsia" w:ascii="宋体" w:hAnsi="宋体" w:eastAsia="宋体" w:cs="宋体"/>
                <w:b/>
                <w:bCs/>
                <w:color w:val="000000"/>
                <w:sz w:val="24"/>
                <w:lang w:bidi="ar"/>
                <w14:ligatures w14:val="none"/>
              </w:rPr>
              <w:t xml:space="preserve">备注</w:t>
            </w:r>
            <w:r/>
          </w:p>
        </w:tc>
      </w:tr>
      <w:tr>
        <w:trPr>
          <w:trHeight w:val="1119"/>
        </w:trPr>
        <w:tc>
          <w:tcPr>
            <w:tcW w:w="745"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b/>
                <w:bCs/>
                <w:sz w:val="24"/>
                <w14:ligatures w14:val="none"/>
              </w:rPr>
              <w:t xml:space="preserve">1</w:t>
            </w:r>
            <w:r/>
          </w:p>
        </w:tc>
        <w:tc>
          <w:tcPr>
            <w:tcW w:w="2397"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b/>
                <w:bCs/>
                <w:color w:val="000000"/>
                <w:sz w:val="24"/>
                <w:lang w:bidi="ar"/>
                <w14:ligatures w14:val="none"/>
              </w:rPr>
              <w:t xml:space="preserve">便携式学生实验考评终端</w:t>
            </w:r>
            <w:r/>
          </w:p>
        </w:tc>
        <w:tc>
          <w:tcPr>
            <w:tcW w:w="1873"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W w:w="231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W w:w="1624" w:type="dxa"/>
            <w:vAlign w:val="center"/>
            <w:vMerge w:val="restart"/>
            <w:textDirection w:val="lrTb"/>
            <w:noWrap w:val="false"/>
          </w:tcPr>
          <w:p>
            <w:pPr>
              <w:jc w:val="center"/>
              <w:spacing w:after="0" w:line="240" w:lineRule="auto"/>
              <w:widowControl/>
              <w:rPr>
                <w:rFonts w:hint="eastAsia" w:ascii="宋体" w:hAnsi="宋体" w:eastAsia="宋体" w:cs="宋体"/>
                <w:sz w:val="24"/>
                <w14:ligatures w14:val="none"/>
              </w:rPr>
            </w:pPr>
            <w:r>
              <w:rPr>
                <w:rFonts w:hint="eastAsia" w:ascii="宋体" w:hAnsi="宋体" w:eastAsia="宋体" w:cs="宋体"/>
                <w:b/>
                <w:bCs/>
                <w:color w:val="000000"/>
                <w:sz w:val="24"/>
                <w:lang w:bidi="ar"/>
                <w14:ligatures w14:val="none"/>
              </w:rPr>
              <w:t xml:space="preserve">（投标人应确保所填品牌型号与认证证书上内容一致，如有不一致，请在本处说</w:t>
            </w:r>
            <w:r/>
          </w:p>
          <w:p>
            <w:pPr>
              <w:jc w:val="center"/>
              <w:spacing w:after="0" w:line="240" w:lineRule="auto"/>
              <w:widowControl/>
              <w:rPr>
                <w:rFonts w:hint="eastAsia" w:ascii="宋体" w:hAnsi="宋体" w:eastAsia="宋体" w:cs="宋体"/>
                <w:sz w:val="24"/>
                <w14:ligatures w14:val="none"/>
              </w:rPr>
            </w:pPr>
            <w:r>
              <w:rPr>
                <w:rFonts w:hint="eastAsia" w:ascii="宋体" w:hAnsi="宋体" w:eastAsia="宋体" w:cs="宋体"/>
                <w:b/>
                <w:bCs/>
                <w:color w:val="000000"/>
                <w:sz w:val="24"/>
                <w:lang w:bidi="ar"/>
                <w14:ligatures w14:val="none"/>
              </w:rPr>
              <w:t xml:space="preserve">明具体原因）</w:t>
            </w:r>
            <w:r/>
          </w:p>
        </w:tc>
      </w:tr>
      <w:tr>
        <w:trPr>
          <w:trHeight w:val="1119"/>
        </w:trPr>
        <w:tc>
          <w:tcPr>
            <w:tcW w:w="745"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W w:w="2397"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W w:w="1873"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W w:w="231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W w:w="1624" w:type="dxa"/>
            <w:vAlign w:val="center"/>
            <w:vMerge w:val="continue"/>
            <w:textDirection w:val="lrTb"/>
            <w:noWrap w:val="false"/>
          </w:tcPr>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r>
        <w:trPr>
          <w:trHeight w:val="1129"/>
        </w:trPr>
        <w:tc>
          <w:tcPr>
            <w:tcW w:w="745"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W w:w="2397"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W w:w="1873"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W w:w="231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c>
          <w:tcPr>
            <w:tcW w:w="1624" w:type="dxa"/>
            <w:vAlign w:val="center"/>
            <w:vMerge w:val="continue"/>
            <w:textDirection w:val="lrTb"/>
            <w:noWrap w:val="false"/>
          </w:tcPr>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tc>
      </w:tr>
    </w:tbl>
    <w:p>
      <w:pPr>
        <w:spacing w:after="0" w:line="360" w:lineRule="auto"/>
        <w:widowControl/>
        <w:rPr>
          <w:rFonts w:hint="eastAsia" w:ascii="宋体" w:hAnsi="宋体" w:eastAsia="宋体" w:cs="宋体"/>
          <w:b/>
          <w:bCs/>
          <w:color w:val="000000"/>
          <w:sz w:val="24"/>
          <w:lang w:bidi="ar"/>
          <w14:ligatures w14:val="none"/>
        </w:rPr>
      </w:pPr>
      <w:r>
        <w:rPr>
          <w:rFonts w:hint="eastAsia" w:ascii="宋体" w:hAnsi="宋体" w:eastAsia="宋体" w:cs="宋体"/>
          <w:b/>
          <w:bCs/>
          <w:color w:val="000000"/>
          <w:sz w:val="24"/>
          <w:lang w:bidi="ar"/>
          <w14:ligatures w14:val="none"/>
        </w:rPr>
      </w:r>
      <w:r/>
    </w:p>
    <w:p>
      <w:pPr>
        <w:spacing w:after="0" w:line="360" w:lineRule="auto"/>
        <w:widowControl/>
        <w:rPr>
          <w:rFonts w:hint="eastAsia" w:ascii="宋体" w:hAnsi="宋体" w:eastAsia="宋体" w:cs="宋体"/>
          <w:sz w:val="21"/>
          <w:szCs w:val="21"/>
          <w14:ligatures w14:val="none"/>
        </w:rPr>
      </w:pPr>
      <w:r>
        <w:rPr>
          <w:rFonts w:hint="eastAsia" w:ascii="宋体" w:hAnsi="宋体" w:eastAsia="宋体" w:cs="宋体"/>
          <w:b/>
          <w:bCs/>
          <w:color w:val="000000"/>
          <w:sz w:val="21"/>
          <w:szCs w:val="21"/>
          <w:lang w:bidi="ar"/>
          <w14:ligatures w14:val="none"/>
        </w:rPr>
        <w:t xml:space="preserve">注： </w:t>
      </w:r>
      <w:r/>
    </w:p>
    <w:p>
      <w:pPr>
        <w:jc w:val="both"/>
        <w:spacing w:after="0" w:line="360" w:lineRule="auto"/>
        <w:rPr>
          <w:rFonts w:hint="eastAsia" w:ascii="宋体" w:hAnsi="宋体" w:eastAsia="宋体" w:cs="宋体"/>
          <w:b/>
          <w:bCs/>
          <w:sz w:val="21"/>
          <w14:ligatures w14:val="none"/>
        </w:rPr>
      </w:pPr>
      <w:r>
        <w:rPr>
          <w:rFonts w:hint="eastAsia" w:ascii="宋体" w:hAnsi="宋体" w:eastAsia="宋体" w:cs="宋体"/>
          <w:b/>
          <w:bCs/>
          <w:sz w:val="21"/>
          <w14:ligatures w14:val="none"/>
        </w:rPr>
        <w:t xml:space="preserve">1.依照“关于调整优化节能产品、环境标志产品政府采购执行机制的通知”( 财库(2019)9号)的规定，结合“关于印发节能产品政府采购品目清单的通知”(财库(2019)19号)发布的“节能产品政府采购品目清单”，如投标产品(开标一览表)涉及清单中政府强制采购产品，必须提供国家确定的认证机构出具的、处于有效期之内的节能产品认证证书复印件或认证结果信息发布平台的认证截图证明。 </w:t>
      </w:r>
      <w:r/>
    </w:p>
    <w:p>
      <w:pPr>
        <w:jc w:val="both"/>
        <w:spacing w:after="0" w:line="360" w:lineRule="auto"/>
        <w:rPr>
          <w:rFonts w:hint="eastAsia" w:ascii="宋体" w:hAnsi="宋体" w:eastAsia="宋体" w:cs="宋体"/>
          <w:b/>
          <w:bCs/>
          <w:sz w:val="21"/>
          <w14:ligatures w14:val="none"/>
        </w:rPr>
      </w:pPr>
      <w:r>
        <w:rPr>
          <w:rFonts w:hint="eastAsia" w:ascii="宋体" w:hAnsi="宋体" w:eastAsia="宋体" w:cs="宋体"/>
          <w:b/>
          <w:bCs/>
          <w:sz w:val="21"/>
          <w14:ligatures w14:val="none"/>
        </w:rPr>
        <w:t xml:space="preserve">2.清单中政府强制采购产品清单如下：台式计算机、便携式计算机、平板式微型计算机、激光打印机、针式打印机、液晶显示器、制冷压缩机、空调机组、专用制冷(空调)设备、镇流器、空调机、电热水器、普通照明用双端荧光灯、电视设备、视频设备、便器、水嘴。</w:t>
      </w:r>
      <w:r/>
    </w:p>
    <w:p>
      <w:pPr>
        <w:jc w:val="center"/>
        <w:keepLines/>
        <w:keepNext/>
        <w:spacing w:after="0" w:line="360" w:lineRule="auto"/>
        <w:widowControl/>
        <w:rPr>
          <w:rFonts w:hint="eastAsia" w:ascii="宋体" w:hAnsi="宋体" w:eastAsia="宋体" w:cs="宋体"/>
          <w:sz w:val="24"/>
          <w14:ligatures w14:val="none"/>
        </w:rPr>
        <w:outlineLvl w:val="0"/>
      </w:pPr>
      <w:r>
        <w:rPr>
          <w:rFonts w:hint="eastAsia" w:ascii="宋体" w:hAnsi="宋体" w:eastAsia="宋体" w:cs="宋体"/>
          <w:color w:val="000000"/>
          <w:sz w:val="44"/>
          <w:szCs w:val="44"/>
          <w14:ligatures w14:val="none"/>
        </w:rPr>
        <w:br w:type="page" w:clear="all"/>
      </w:r>
      <w:r>
        <w:rPr>
          <w:rFonts w:hint="eastAsia" w:ascii="宋体" w:hAnsi="宋体" w:eastAsia="宋体" w:cs="宋体"/>
          <w:bCs/>
          <w:sz w:val="44"/>
          <w:szCs w:val="28"/>
          <w14:ligatures w14:val="none"/>
        </w:rPr>
        <w:t xml:space="preserve">第六章 投标文件格式</w:t>
      </w:r>
      <w:bookmarkEnd w:id="212"/>
      <w:r/>
      <w:r/>
    </w:p>
    <w:p>
      <w:pPr>
        <w:ind w:firstLine="360"/>
        <w:jc w:val="center"/>
        <w:spacing w:after="0" w:line="240" w:lineRule="auto"/>
        <w:rPr>
          <w:rFonts w:hint="eastAsia" w:ascii="宋体" w:hAnsi="宋体" w:eastAsia="宋体" w:cs="宋体"/>
          <w:b/>
          <w:color w:val="000000"/>
          <w:sz w:val="72"/>
          <w:szCs w:val="72"/>
          <w14:ligatures w14:val="none"/>
        </w:rPr>
      </w:pPr>
      <w:r>
        <w:rPr>
          <w:rFonts w:hint="eastAsia" w:ascii="宋体" w:hAnsi="宋体" w:eastAsia="宋体" w:cs="宋体"/>
          <w:b/>
          <w:color w:val="000000"/>
          <w:sz w:val="72"/>
          <w:szCs w:val="72"/>
          <w14:ligatures w14:val="none"/>
        </w:rPr>
      </w:r>
      <w:r/>
    </w:p>
    <w:p>
      <w:pPr>
        <w:ind w:firstLine="360"/>
        <w:jc w:val="center"/>
        <w:spacing w:after="0" w:line="240" w:lineRule="auto"/>
        <w:rPr>
          <w:rFonts w:hint="eastAsia" w:ascii="宋体" w:hAnsi="宋体" w:eastAsia="宋体" w:cs="宋体"/>
          <w:b/>
          <w:color w:val="000000"/>
          <w:sz w:val="72"/>
          <w:szCs w:val="72"/>
          <w14:ligatures w14:val="none"/>
        </w:rPr>
      </w:pPr>
      <w:r>
        <w:rPr>
          <w:rFonts w:hint="eastAsia" w:ascii="宋体" w:hAnsi="宋体" w:eastAsia="宋体" w:cs="宋体"/>
          <w:b/>
          <w:color w:val="000000"/>
          <w:sz w:val="72"/>
          <w:szCs w:val="72"/>
          <w14:ligatures w14:val="none"/>
        </w:rPr>
      </w:r>
      <w:r/>
    </w:p>
    <w:p>
      <w:pPr>
        <w:ind w:firstLine="360"/>
        <w:jc w:val="center"/>
        <w:spacing w:after="0" w:line="240" w:lineRule="auto"/>
        <w:rPr>
          <w:rFonts w:hint="eastAsia" w:ascii="宋体" w:hAnsi="宋体" w:eastAsia="宋体" w:cs="宋体"/>
          <w:b/>
          <w:color w:val="000000"/>
          <w:sz w:val="72"/>
          <w:szCs w:val="72"/>
          <w14:ligatures w14:val="none"/>
        </w:rPr>
      </w:pPr>
      <w:r>
        <w:rPr>
          <w:rFonts w:hint="eastAsia" w:ascii="宋体" w:hAnsi="宋体" w:eastAsia="宋体" w:cs="宋体"/>
          <w:b/>
          <w:color w:val="000000"/>
          <w:sz w:val="72"/>
          <w:szCs w:val="72"/>
          <w14:ligatures w14:val="none"/>
        </w:rPr>
        <w:t xml:space="preserve">投标文件</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80"/>
        <w:jc w:val="both"/>
        <w:spacing w:after="0" w:line="240" w:lineRule="auto"/>
        <w:rPr>
          <w:rFonts w:hint="eastAsia" w:ascii="宋体" w:hAnsi="宋体" w:eastAsia="宋体" w:cs="宋体"/>
          <w:sz w:val="24"/>
          <w14:ligatures w14:val="none"/>
        </w:rPr>
      </w:pPr>
      <w:r>
        <w:rPr>
          <w:rFonts w:hint="eastAsia" w:ascii="宋体" w:hAnsi="宋体" w:eastAsia="宋体" w:cs="宋体"/>
          <w:b/>
          <w:color w:val="000000"/>
          <w:sz w:val="36"/>
          <w:szCs w:val="36"/>
          <w14:ligatures w14:val="none"/>
        </w:rPr>
        <w:t xml:space="preserve">项 目 名 称：</w:t>
      </w:r>
      <w:r>
        <w:rPr>
          <w:rFonts w:hint="eastAsia" w:ascii="宋体" w:hAnsi="宋体" w:eastAsia="宋体" w:cs="宋体"/>
          <w:b/>
          <w:color w:val="000000"/>
          <w:sz w:val="36"/>
          <w:szCs w:val="36"/>
          <w:u w:val="single"/>
          <w14:ligatures w14:val="none"/>
        </w:rPr>
        <w:t xml:space="preserve">             </w:t>
      </w:r>
      <w:r/>
    </w:p>
    <w:p>
      <w:pPr>
        <w:ind w:firstLine="180"/>
        <w:jc w:val="both"/>
        <w:spacing w:after="0" w:line="240" w:lineRule="auto"/>
        <w:rPr>
          <w:rFonts w:hint="eastAsia" w:ascii="宋体" w:hAnsi="宋体" w:eastAsia="宋体" w:cs="宋体"/>
          <w:sz w:val="24"/>
          <w14:ligatures w14:val="none"/>
        </w:rPr>
      </w:pPr>
      <w:r>
        <w:rPr>
          <w:rFonts w:hint="eastAsia" w:ascii="宋体" w:hAnsi="宋体" w:eastAsia="宋体" w:cs="宋体"/>
          <w:b/>
          <w:color w:val="000000"/>
          <w:sz w:val="36"/>
          <w:szCs w:val="36"/>
          <w14:ligatures w14:val="none"/>
        </w:rPr>
        <w:t xml:space="preserve">项 目 编 号：</w:t>
      </w:r>
      <w:r>
        <w:rPr>
          <w:rFonts w:hint="eastAsia" w:ascii="宋体" w:hAnsi="宋体" w:eastAsia="宋体" w:cs="宋体"/>
          <w:b/>
          <w:color w:val="000000"/>
          <w:sz w:val="36"/>
          <w:szCs w:val="36"/>
          <w:u w:val="single"/>
          <w14:ligatures w14:val="none"/>
        </w:rPr>
        <w:t xml:space="preserve">             </w:t>
      </w:r>
      <w:r/>
    </w:p>
    <w:p>
      <w:pPr>
        <w:ind w:firstLine="180"/>
        <w:jc w:val="both"/>
        <w:spacing w:after="0" w:line="240" w:lineRule="auto"/>
        <w:rPr>
          <w:rFonts w:hint="eastAsia" w:ascii="宋体" w:hAnsi="宋体" w:eastAsia="宋体" w:cs="宋体"/>
          <w:sz w:val="24"/>
          <w14:ligatures w14:val="none"/>
        </w:rPr>
      </w:pPr>
      <w:r/>
      <w:bookmarkStart w:id="213" w:name="_Toc28112"/>
      <w:r>
        <w:rPr>
          <w:rFonts w:hint="eastAsia" w:ascii="宋体" w:hAnsi="宋体" w:eastAsia="宋体" w:cs="宋体"/>
          <w:b/>
          <w:color w:val="000000"/>
          <w:sz w:val="36"/>
          <w:szCs w:val="36"/>
          <w14:ligatures w14:val="none"/>
        </w:rPr>
        <w:t xml:space="preserve">投标人名称 ：</w:t>
      </w:r>
      <w:r>
        <w:rPr>
          <w:rFonts w:hint="eastAsia" w:ascii="宋体" w:hAnsi="宋体" w:eastAsia="宋体" w:cs="宋体"/>
          <w:b/>
          <w:color w:val="000000"/>
          <w:sz w:val="36"/>
          <w:szCs w:val="36"/>
          <w:u w:val="single"/>
          <w14:ligatures w14:val="none"/>
        </w:rPr>
        <w:t xml:space="preserve">（加盖CA电子公章）</w:t>
      </w:r>
      <w:bookmarkEnd w:id="213"/>
      <w:r/>
      <w:r/>
    </w:p>
    <w:p>
      <w:pPr>
        <w:ind w:firstLine="180"/>
        <w:jc w:val="both"/>
        <w:spacing w:after="0" w:line="240" w:lineRule="auto"/>
        <w:rPr>
          <w:rFonts w:hint="eastAsia" w:ascii="宋体" w:hAnsi="宋体" w:eastAsia="宋体" w:cs="宋体"/>
          <w:sz w:val="24"/>
          <w14:ligatures w14:val="none"/>
        </w:rPr>
      </w:pPr>
      <w:r>
        <w:rPr>
          <w:rFonts w:hint="eastAsia" w:ascii="宋体" w:hAnsi="宋体" w:eastAsia="宋体" w:cs="宋体"/>
          <w:b/>
          <w:color w:val="000000"/>
          <w:sz w:val="36"/>
          <w:szCs w:val="36"/>
          <w14:ligatures w14:val="none"/>
        </w:rPr>
        <w:t xml:space="preserve">日   期 ：</w:t>
      </w:r>
      <w:r>
        <w:rPr>
          <w:rFonts w:hint="eastAsia" w:ascii="宋体" w:hAnsi="宋体" w:eastAsia="宋体" w:cs="宋体"/>
          <w:b/>
          <w:color w:val="000000"/>
          <w:sz w:val="36"/>
          <w:szCs w:val="36"/>
          <w:u w:val="single"/>
          <w14:ligatures w14:val="none"/>
        </w:rPr>
        <w:t xml:space="preserve">             </w:t>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ind w:firstLine="160"/>
        <w:jc w:val="center"/>
        <w:spacing w:after="0" w:line="360" w:lineRule="auto"/>
        <w:rPr>
          <w:rFonts w:hint="eastAsia" w:ascii="宋体" w:hAnsi="宋体" w:eastAsia="宋体" w:cs="宋体"/>
          <w:sz w:val="24"/>
          <w14:ligatures w14:val="none"/>
        </w:rPr>
      </w:pPr>
      <w:r>
        <w:rPr>
          <w:rFonts w:hint="eastAsia" w:ascii="宋体" w:hAnsi="宋体" w:eastAsia="宋体" w:cs="宋体"/>
          <w:b/>
          <w:color w:val="000000"/>
          <w:sz w:val="32"/>
          <w:szCs w:val="32"/>
          <w14:ligatures w14:val="none"/>
        </w:rPr>
        <w:br w:type="page" w:clear="all"/>
      </w:r>
      <w:r>
        <w:rPr>
          <w:rFonts w:hint="eastAsia" w:ascii="宋体" w:hAnsi="宋体" w:eastAsia="宋体" w:cs="宋体"/>
          <w:b/>
          <w:color w:val="000000"/>
          <w:sz w:val="32"/>
          <w:szCs w:val="32"/>
          <w14:ligatures w14:val="none"/>
        </w:rPr>
        <w:t xml:space="preserve">投标文件目录</w:t>
      </w:r>
      <w:r/>
    </w:p>
    <w:p>
      <w:pPr>
        <w:ind w:left="480"/>
        <w:jc w:val="both"/>
        <w:spacing w:after="0" w:line="360" w:lineRule="auto"/>
        <w:rPr>
          <w:rFonts w:hint="eastAsia" w:ascii="宋体" w:hAnsi="宋体" w:eastAsia="宋体" w:cs="宋体"/>
          <w:bCs/>
          <w:sz w:val="24"/>
          <w:szCs w:val="21"/>
          <w14:ligatures w14:val="none"/>
        </w:rPr>
      </w:pPr>
      <w:r/>
      <w:bookmarkStart w:id="214" w:name="_Toc11251"/>
      <w:r>
        <w:rPr>
          <w:rFonts w:hint="eastAsia" w:ascii="宋体" w:hAnsi="宋体" w:eastAsia="宋体" w:cs="宋体"/>
          <w:bCs/>
          <w:sz w:val="24"/>
          <w:szCs w:val="21"/>
          <w14:ligatures w14:val="none"/>
        </w:rPr>
        <w:t xml:space="preserve">一、法人或者其他组织的营业执照等证明文件，自然人的身份证明</w:t>
      </w:r>
      <w:bookmarkEnd w:id="214"/>
      <w:r/>
      <w:r/>
    </w:p>
    <w:p>
      <w:pPr>
        <w:ind w:left="480"/>
        <w:jc w:val="both"/>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二、上一年度的财务状况报表（至少提供资产负债表、利润表、现金流量表，</w:t>
      </w:r>
      <w:r/>
    </w:p>
    <w:p>
      <w:pPr>
        <w:ind w:left="480"/>
        <w:jc w:val="both"/>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投标人成立不满一年无需提供）</w:t>
      </w:r>
      <w:r/>
    </w:p>
    <w:p>
      <w:pPr>
        <w:ind w:left="480"/>
        <w:jc w:val="both"/>
        <w:spacing w:after="0" w:line="360" w:lineRule="auto"/>
        <w:rPr>
          <w:rFonts w:hint="eastAsia" w:ascii="宋体" w:hAnsi="宋体" w:eastAsia="宋体" w:cs="宋体"/>
          <w:bCs/>
          <w:sz w:val="24"/>
          <w:szCs w:val="21"/>
          <w14:ligatures w14:val="none"/>
        </w:rPr>
      </w:pPr>
      <w:r/>
      <w:bookmarkStart w:id="215" w:name="_Toc21106"/>
      <w:r>
        <w:rPr>
          <w:rFonts w:hint="eastAsia" w:ascii="宋体" w:hAnsi="宋体" w:eastAsia="宋体" w:cs="宋体"/>
          <w:bCs/>
          <w:sz w:val="24"/>
          <w:szCs w:val="21"/>
          <w14:ligatures w14:val="none"/>
        </w:rPr>
        <w:t xml:space="preserve">三、具备履行合同所必需的设备和专业技术能力的书面声明</w:t>
      </w:r>
      <w:bookmarkEnd w:id="215"/>
      <w:r/>
      <w:r/>
    </w:p>
    <w:p>
      <w:pPr>
        <w:ind w:left="480"/>
        <w:jc w:val="both"/>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jc w:val="both"/>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五、参加政府采购活动前 3 年内在经营活动中没有重大违法记录的书面声明</w:t>
      </w:r>
      <w:r/>
    </w:p>
    <w:p>
      <w:pPr>
        <w:ind w:left="480"/>
        <w:jc w:val="both"/>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六、特定资格要求的证明文件（如果本项目设置特定资格要求，则需要提供）</w:t>
      </w:r>
      <w:r/>
    </w:p>
    <w:p>
      <w:pPr>
        <w:ind w:left="480"/>
        <w:jc w:val="both"/>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七、法人授权书</w:t>
      </w:r>
      <w:r/>
    </w:p>
    <w:p>
      <w:pPr>
        <w:ind w:left="480"/>
        <w:jc w:val="both"/>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八、投标函</w:t>
      </w:r>
      <w:r/>
    </w:p>
    <w:p>
      <w:pPr>
        <w:ind w:left="480"/>
        <w:jc w:val="both"/>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九、中小微企业声明函</w:t>
      </w:r>
      <w:r/>
    </w:p>
    <w:p>
      <w:pPr>
        <w:ind w:left="480"/>
        <w:jc w:val="both"/>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十、残疾人福利性单位声明函</w:t>
      </w:r>
      <w:r/>
    </w:p>
    <w:p>
      <w:pPr>
        <w:ind w:left="480"/>
        <w:jc w:val="both"/>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十一、联合体协议</w:t>
      </w:r>
      <w:r/>
    </w:p>
    <w:p>
      <w:pPr>
        <w:ind w:left="480"/>
        <w:jc w:val="both"/>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十二、投标分项报价表</w:t>
      </w:r>
      <w:r/>
    </w:p>
    <w:p>
      <w:pPr>
        <w:ind w:left="480"/>
        <w:jc w:val="both"/>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十三、技术要求响应偏离表</w:t>
      </w:r>
      <w:r/>
    </w:p>
    <w:p>
      <w:pPr>
        <w:ind w:left="480"/>
        <w:jc w:val="both"/>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十四、商务要求响应偏离表</w:t>
      </w:r>
      <w:r/>
    </w:p>
    <w:p>
      <w:pPr>
        <w:ind w:left="482"/>
        <w:jc w:val="both"/>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十五、开标一览表</w:t>
      </w:r>
      <w:r/>
    </w:p>
    <w:p>
      <w:pPr>
        <w:ind w:left="482"/>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十六、教研师训及售后（服务运营）方案、实施组织方案、产品安全承诺函等</w:t>
      </w:r>
      <w:r/>
    </w:p>
    <w:p>
      <w:pPr>
        <w:ind w:left="482"/>
        <w:jc w:val="both"/>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十七、响水县政府采购事前信用承诺书</w:t>
      </w:r>
      <w:r/>
    </w:p>
    <w:p>
      <w:pPr>
        <w:ind w:left="482"/>
        <w:jc w:val="both"/>
        <w:spacing w:after="0" w:line="360" w:lineRule="auto"/>
        <w:rPr>
          <w:rFonts w:hint="eastAsia" w:ascii="宋体" w:hAnsi="宋体" w:eastAsia="宋体" w:cs="宋体"/>
          <w:bCs/>
          <w:sz w:val="24"/>
          <w:szCs w:val="21"/>
          <w14:ligatures w14:val="none"/>
        </w:rPr>
      </w:pPr>
      <w:r>
        <w:rPr>
          <w:rFonts w:hint="eastAsia" w:ascii="宋体" w:hAnsi="宋体" w:eastAsia="宋体" w:cs="宋体"/>
          <w:bCs/>
          <w:sz w:val="24"/>
          <w:szCs w:val="21"/>
          <w14:ligatures w14:val="none"/>
        </w:rPr>
        <w:t xml:space="preserve">十八、承诺函</w:t>
      </w:r>
      <w:r/>
    </w:p>
    <w:p>
      <w:pPr>
        <w:ind w:firstLine="120"/>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ind w:firstLine="120"/>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ind w:firstLine="120"/>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pStyle w:val="800"/>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00"/>
        <w:ind w:firstLine="480"/>
        <w:jc w:val="both"/>
        <w:spacing w:beforeAutospacing="0" w:afterAutospacing="0" w:line="0" w:lineRule="atLeast"/>
      </w:pPr>
      <w:r>
        <w:t xml:space="preserve"> </w:t>
      </w:r>
      <w:r/>
    </w:p>
    <w:p>
      <w:pPr>
        <w:pStyle w:val="800"/>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tabs>
          <w:tab w:val="left" w:pos="1331" w:leader="none"/>
        </w:tabs>
        <w:rPr>
          <w:rFonts w:hint="eastAsia" w:ascii="宋体" w:hAnsi="宋体" w:eastAsia="宋体" w:cs="宋体"/>
          <w:iCs/>
          <w:color w:val="000000"/>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p>
    <w:p>
      <w:pPr>
        <w:pStyle w:val="800"/>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、依法缴纳税收和社会保障资金的相关材料</w:t>
      </w:r>
      <w:r/>
    </w:p>
    <w:p>
      <w:pPr>
        <w:pStyle w:val="800"/>
        <w:ind w:firstLine="480"/>
        <w:jc w:val="both"/>
        <w:spacing w:beforeAutospacing="0" w:afterAutospacing="0"/>
      </w:pPr>
      <w:r>
        <w:rPr>
          <w:rFonts w:hint="eastAsia" w:ascii="宋体" w:hAnsi="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00"/>
        <w:jc w:val="both"/>
        <w:spacing w:beforeAutospacing="0" w:afterAutospacing="0"/>
      </w:pPr>
      <w:r/>
      <w:r/>
    </w:p>
    <w:p>
      <w:pPr>
        <w:pStyle w:val="800"/>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、具备履行合同所必需的设备和专业技术能力的书面声明</w:t>
      </w:r>
      <w:r/>
    </w:p>
    <w:p>
      <w:pPr>
        <w:pStyle w:val="800"/>
        <w:ind w:firstLine="492"/>
        <w:jc w:val="both"/>
        <w:spacing w:beforeAutospacing="0" w:afterAutospacing="0" w:line="0" w:lineRule="atLeast"/>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p>
    <w:p>
      <w:pPr>
        <w:pStyle w:val="800"/>
        <w:ind w:firstLine="492"/>
        <w:jc w:val="both"/>
        <w:spacing w:beforeAutospacing="0" w:afterAutospacing="0" w:line="0" w:lineRule="atLeast"/>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p>
    <w:p>
      <w:pPr>
        <w:pStyle w:val="800"/>
        <w:jc w:val="both"/>
        <w:spacing w:beforeAutospacing="0" w:afterAutospacing="0"/>
        <w:rPr>
          <w:rFonts w:hint="eastAsia" w:ascii="宋体" w:hAnsi="宋体" w:cs="宋体"/>
          <w:color w:val="000000"/>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p>
    <w:p>
      <w:pPr>
        <w:pStyle w:val="800"/>
        <w:jc w:val="both"/>
        <w:spacing w:beforeAutospacing="0" w:afterAutospacing="0"/>
      </w:pPr>
      <w:r>
        <w:rPr>
          <w:rFonts w:hint="eastAsia" w:ascii="黑体" w:hAnsi="宋体" w:eastAsia="黑体" w:cs="黑体"/>
          <w:i/>
          <w:color w:val="000000"/>
          <w:sz w:val="32"/>
          <w:szCs w:val="32"/>
          <w:u w:val="single"/>
          <w:lang w:val="en-US" w:eastAsia="zh-CN"/>
        </w:rPr>
        <w:t xml:space="preserve">五</w:t>
      </w:r>
      <w:r>
        <w:rPr>
          <w:rFonts w:hint="eastAsia" w:ascii="黑体" w:hAnsi="宋体" w:eastAsia="黑体" w:cs="黑体"/>
          <w:i/>
          <w:color w:val="000000"/>
          <w:sz w:val="32"/>
          <w:szCs w:val="32"/>
          <w:u w:val="single"/>
        </w:rPr>
        <w:t xml:space="preserve">、参加政府采购活动前 3 年内在经营活动中没有重大违法记录的书面声明</w:t>
      </w:r>
      <w:r/>
    </w:p>
    <w:p>
      <w:pPr>
        <w:pStyle w:val="800"/>
        <w:jc w:val="both"/>
        <w:spacing w:beforeAutospacing="0" w:afterAutospacing="0"/>
        <w:rPr>
          <w:rFonts w:hint="eastAsia" w:ascii="宋体" w:hAnsi="宋体" w:cs="宋体"/>
          <w:color w:val="000000"/>
        </w:rPr>
      </w:pPr>
      <w:r>
        <w:rPr>
          <w:rFonts w:hint="eastAsia" w:ascii="宋体" w:hAnsi="宋体" w:cs="宋体"/>
          <w:color w:val="000000"/>
        </w:rPr>
      </w:r>
      <w:r/>
    </w:p>
    <w:p>
      <w:pPr>
        <w:pStyle w:val="800"/>
        <w:jc w:val="both"/>
        <w:spacing w:beforeAutospacing="0" w:afterAutospacing="0"/>
      </w:pPr>
      <w:r>
        <w:t xml:space="preserve"> </w:t>
      </w:r>
      <w:r/>
    </w:p>
    <w:p>
      <w:pPr>
        <w:pStyle w:val="800"/>
        <w:jc w:val="both"/>
        <w:spacing w:beforeAutospacing="0" w:afterAutospacing="0" w:line="0" w:lineRule="atLeast"/>
        <w:rPr>
          <w:rFonts w:hint="eastAsia" w:ascii="宋体" w:hAnsi="宋体" w:cs="宋体"/>
          <w:b/>
          <w:color w:val="000000"/>
          <w:sz w:val="44"/>
          <w:szCs w:val="44"/>
        </w:rPr>
      </w:pPr>
      <w:r>
        <w:rPr>
          <w:rFonts w:hint="eastAsia" w:ascii="宋体" w:hAnsi="宋体" w:cs="宋体"/>
          <w:b/>
          <w:color w:val="000000"/>
          <w:sz w:val="44"/>
          <w:szCs w:val="44"/>
        </w:rPr>
        <w:t xml:space="preserve">                </w:t>
      </w:r>
      <w:r/>
    </w:p>
    <w:p>
      <w:pPr>
        <w:pStyle w:val="800"/>
        <w:ind w:firstLine="3092"/>
        <w:jc w:val="both"/>
        <w:spacing w:beforeAutospacing="0" w:afterAutospacing="0" w:line="0" w:lineRule="atLeast"/>
      </w:pPr>
      <w:r>
        <w:rPr>
          <w:rFonts w:hint="eastAsia" w:ascii="宋体" w:hAnsi="宋体" w:cs="宋体"/>
          <w:b/>
          <w:color w:val="000000"/>
          <w:sz w:val="44"/>
          <w:szCs w:val="44"/>
        </w:rPr>
        <w:t xml:space="preserve"> 声  明</w:t>
      </w:r>
      <w:r/>
    </w:p>
    <w:p>
      <w:pPr>
        <w:pStyle w:val="800"/>
        <w:jc w:val="both"/>
        <w:spacing w:beforeAutospacing="0" w:afterAutospacing="0" w:line="0" w:lineRule="atLeast"/>
      </w:pPr>
      <w:r>
        <w:rPr>
          <w:rFonts w:hint="eastAsia" w:ascii="宋体" w:hAnsi="宋体" w:cs="宋体"/>
          <w:b/>
          <w:color w:val="000000"/>
        </w:rPr>
        <w:t xml:space="preserve">    </w:t>
      </w:r>
      <w:r>
        <w:rPr>
          <w:rFonts w:hint="eastAsia" w:ascii="宋体" w:hAns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00"/>
        <w:jc w:val="both"/>
        <w:spacing w:beforeAutospacing="0" w:afterAutospacing="0"/>
      </w:pPr>
      <w:r>
        <w:t xml:space="preserve"> </w:t>
      </w:r>
      <w:r/>
    </w:p>
    <w:p>
      <w:pPr>
        <w:pStyle w:val="800"/>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00"/>
        <w:jc w:val="both"/>
        <w:spacing w:beforeAutospacing="0" w:afterAutospacing="0" w:line="0" w:lineRule="atLeast"/>
      </w:pPr>
      <w:r>
        <w:rPr>
          <w:rFonts w:hint="eastAsia" w:ascii="宋体" w:hAnsi="宋体" w:cs="宋体"/>
          <w:color w:val="000000"/>
        </w:rPr>
        <w:t xml:space="preserve">   如果本项目申请人的特定资格要求中要求提供的，必须提供。</w:t>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ind w:firstLine="161"/>
        <w:jc w:val="center"/>
        <w:spacing w:after="0" w:line="240" w:lineRule="auto"/>
        <w:rPr>
          <w:rFonts w:hint="eastAsia" w:ascii="宋体" w:hAnsi="宋体" w:eastAsia="宋体" w:cs="宋体"/>
          <w:i/>
          <w:color w:val="000000"/>
          <w:sz w:val="32"/>
          <w:szCs w:val="32"/>
          <w:u w:val="single"/>
          <w14:ligatures w14:val="none"/>
        </w:rPr>
      </w:pPr>
      <w:r/>
      <w:bookmarkStart w:id="216" w:name="_Toc120614284"/>
      <w:r/>
      <w:r/>
    </w:p>
    <w:p>
      <w:pPr>
        <w:ind w:firstLine="161"/>
        <w:jc w:val="center"/>
        <w:spacing w:after="0" w:line="240" w:lineRule="auto"/>
        <w:rPr>
          <w:rFonts w:hint="eastAsia" w:ascii="宋体" w:hAnsi="宋体" w:eastAsia="宋体" w:cs="宋体"/>
          <w:i/>
          <w:color w:val="000000"/>
          <w:sz w:val="32"/>
          <w:szCs w:val="32"/>
          <w:u w:val="single"/>
          <w14:ligatures w14:val="none"/>
        </w:rPr>
      </w:pPr>
      <w:r>
        <w:rPr>
          <w:rFonts w:hint="eastAsia" w:ascii="宋体" w:hAnsi="宋体" w:eastAsia="宋体" w:cs="宋体"/>
          <w:i/>
          <w:color w:val="000000"/>
          <w:sz w:val="32"/>
          <w:szCs w:val="32"/>
          <w:u w:val="single"/>
          <w14:ligatures w14:val="none"/>
        </w:rPr>
      </w:r>
      <w:r/>
    </w:p>
    <w:p>
      <w:pPr>
        <w:ind w:firstLine="161"/>
        <w:jc w:val="center"/>
        <w:spacing w:after="0" w:line="240" w:lineRule="auto"/>
        <w:rPr>
          <w:rFonts w:hint="eastAsia" w:ascii="宋体" w:hAnsi="宋体" w:eastAsia="宋体" w:cs="宋体"/>
          <w:i/>
          <w:color w:val="000000"/>
          <w:sz w:val="32"/>
          <w:szCs w:val="32"/>
          <w:u w:val="single"/>
          <w14:ligatures w14:val="none"/>
        </w:rPr>
      </w:pPr>
      <w:r>
        <w:rPr>
          <w:rFonts w:hint="eastAsia" w:ascii="宋体" w:hAnsi="宋体" w:eastAsia="宋体" w:cs="宋体"/>
          <w:i/>
          <w:color w:val="000000"/>
          <w:sz w:val="32"/>
          <w:szCs w:val="32"/>
          <w:u w:val="single"/>
          <w14:ligatures w14:val="none"/>
        </w:rPr>
      </w:r>
      <w:r/>
    </w:p>
    <w:p>
      <w:pPr>
        <w:ind w:firstLine="2880"/>
        <w:jc w:val="both"/>
        <w:keepLines/>
        <w:keepNext/>
        <w:spacing w:before="260" w:after="260" w:line="415" w:lineRule="auto"/>
        <w:rPr>
          <w:rFonts w:hint="eastAsia" w:ascii="宋体" w:hAnsi="宋体" w:eastAsia="宋体" w:cs="宋体"/>
          <w:b/>
          <w:sz w:val="32"/>
          <w:szCs w:val="32"/>
          <w14:ligatures w14:val="none"/>
        </w:rPr>
      </w:pPr>
      <w:r/>
      <w:bookmarkStart w:id="217" w:name="_Toc24692"/>
      <w:r>
        <w:rPr>
          <w:rFonts w:hint="eastAsia" w:ascii="宋体" w:hAnsi="宋体" w:eastAsia="宋体" w:cs="宋体"/>
          <w:sz w:val="32"/>
          <w:szCs w:val="32"/>
          <w14:ligatures w14:val="none"/>
        </w:rPr>
        <w:t xml:space="preserve">七、法人授权书</w:t>
      </w:r>
      <w:r/>
    </w:p>
    <w:p>
      <w:pPr>
        <w:ind w:firstLine="480"/>
        <w:jc w:val="both"/>
        <w:spacing w:after="0" w:line="500" w:lineRule="exact"/>
        <w:tabs>
          <w:tab w:val="left" w:pos="360" w:leader="none"/>
        </w:tabs>
        <w:rPr>
          <w:rFonts w:hint="eastAsia" w:ascii="宋体" w:hAnsi="宋体" w:eastAsia="宋体" w:cs="宋体"/>
          <w:sz w:val="24"/>
          <w14:ligatures w14:val="none"/>
        </w:rPr>
      </w:pPr>
      <w:r>
        <w:rPr>
          <w:rFonts w:hint="eastAsia" w:ascii="宋体" w:hAnsi="宋体" w:eastAsia="宋体" w:cs="宋体"/>
          <w:sz w:val="24"/>
          <w14:ligatures w14:val="none"/>
        </w:rPr>
        <w:t xml:space="preserve">本授权书声明：____________（供应商名称）授权________________（被授权人的姓名）为我方就 </w:t>
      </w:r>
      <w:r>
        <w:rPr>
          <w:rFonts w:hint="eastAsia" w:ascii="宋体" w:hAnsi="宋体" w:eastAsia="宋体" w:cs="宋体"/>
          <w:sz w:val="24"/>
          <w:u w:val="single"/>
          <w14:ligatures w14:val="none"/>
        </w:rPr>
        <w:t xml:space="preserve">       </w:t>
      </w:r>
      <w:r>
        <w:rPr>
          <w:rFonts w:hint="eastAsia" w:ascii="宋体" w:hAnsi="宋体" w:eastAsia="宋体" w:cs="宋体"/>
          <w:sz w:val="24"/>
          <w14:ligatures w14:val="none"/>
        </w:rPr>
        <w:t xml:space="preserve">号项目采购活动的合法代理人，以本公司名义全权处理一切与该项目采购有关的事务。</w:t>
      </w:r>
      <w:r/>
    </w:p>
    <w:p>
      <w:pPr>
        <w:ind w:firstLine="480"/>
        <w:jc w:val="both"/>
        <w:spacing w:after="0" w:line="500" w:lineRule="exact"/>
        <w:tabs>
          <w:tab w:val="left" w:pos="360" w:leader="none"/>
        </w:tabs>
        <w:rPr>
          <w:rFonts w:hint="eastAsia" w:ascii="宋体" w:hAnsi="宋体" w:eastAsia="宋体" w:cs="宋体"/>
          <w:sz w:val="24"/>
          <w14:ligatures w14:val="none"/>
        </w:rPr>
      </w:pPr>
      <w:r>
        <w:rPr>
          <w:rFonts w:hint="eastAsia" w:ascii="宋体" w:hAnsi="宋体" w:eastAsia="宋体" w:cs="宋体"/>
          <w:sz w:val="24"/>
          <w14:ligatures w14:val="none"/>
        </w:rPr>
        <w:t xml:space="preserve">本授权书于______年____月____日起生效，特此声明。</w:t>
      </w:r>
      <w:r/>
    </w:p>
    <w:p>
      <w:pPr>
        <w:ind w:firstLine="480"/>
        <w:spacing w:before="100" w:beforeAutospacing="1" w:after="100" w:afterAutospacing="1" w:line="240" w:lineRule="exact"/>
        <w:widowControl/>
        <w:rPr>
          <w:rFonts w:hint="eastAsia" w:ascii="宋体" w:hAnsi="宋体" w:eastAsia="宋体" w:cs="宋体"/>
          <w:sz w:val="24"/>
          <w:szCs w:val="21"/>
          <w14:ligatures w14:val="none"/>
        </w:rPr>
      </w:pPr>
      <w:r>
        <w:rPr>
          <w:rFonts w:hint="eastAsia" w:ascii="宋体" w:hAnsi="宋体" w:eastAsia="宋体" w:cs="宋体"/>
          <w:sz w:val="24"/>
          <w:szCs w:val="21"/>
          <w14:ligatures w14:val="none"/>
        </w:rPr>
        <w:t xml:space="preserve">被授权人身份证号码：</w:t>
      </w:r>
      <w:r>
        <w:rPr>
          <w:rFonts w:hint="eastAsia" w:ascii="宋体" w:hAnsi="宋体" w:eastAsia="宋体" w:cs="宋体"/>
          <w:sz w:val="24"/>
          <w:szCs w:val="21"/>
          <w:u w:val="single"/>
          <w14:ligatures w14:val="none"/>
        </w:rPr>
        <w:t xml:space="preserve">                  </w:t>
      </w:r>
      <w:r>
        <w:rPr>
          <w:rFonts w:hint="eastAsia" w:ascii="宋体" w:hAnsi="宋体" w:eastAsia="宋体" w:cs="宋体"/>
          <w:sz w:val="24"/>
          <w:szCs w:val="21"/>
          <w14:ligatures w14:val="none"/>
        </w:rPr>
        <w:t xml:space="preserve">          </w:t>
      </w:r>
      <w:r/>
    </w:p>
    <w:p>
      <w:pPr>
        <w:ind w:firstLine="480"/>
        <w:spacing w:before="100" w:beforeAutospacing="1" w:after="100" w:afterAutospacing="1" w:line="240" w:lineRule="exact"/>
        <w:widowControl/>
        <w:rPr>
          <w:rFonts w:hint="eastAsia" w:ascii="宋体" w:hAnsi="宋体" w:eastAsia="宋体" w:cs="宋体"/>
          <w:sz w:val="24"/>
          <w:szCs w:val="21"/>
          <w14:ligatures w14:val="none"/>
        </w:rPr>
      </w:pPr>
      <w:r>
        <w:rPr>
          <w:rFonts w:hint="eastAsia" w:ascii="宋体" w:hAnsi="宋体" w:eastAsia="宋体" w:cs="宋体"/>
          <w:sz w:val="24"/>
          <w:szCs w:val="21"/>
          <w14:ligatures w14:val="none"/>
        </w:rPr>
        <w:t xml:space="preserve">被授权人联系电话：</w:t>
      </w:r>
      <w:r>
        <w:rPr>
          <w:rFonts w:hint="eastAsia" w:ascii="宋体" w:hAnsi="宋体" w:eastAsia="宋体" w:cs="宋体"/>
          <w:sz w:val="24"/>
          <w:szCs w:val="21"/>
          <w:u w:val="single"/>
          <w14:ligatures w14:val="none"/>
        </w:rPr>
        <w:t xml:space="preserve">  （手机）              </w:t>
      </w:r>
      <w:r>
        <w:rPr>
          <w:rFonts w:hint="eastAsia" w:ascii="宋体" w:hAnsi="宋体" w:eastAsia="宋体" w:cs="宋体"/>
          <w:sz w:val="24"/>
          <w:szCs w:val="21"/>
          <w14:ligatures w14:val="none"/>
        </w:rPr>
        <w:t xml:space="preserve">                   </w:t>
      </w:r>
      <w:r/>
    </w:p>
    <w:p>
      <w:pPr>
        <w:ind w:firstLine="480"/>
        <w:spacing w:before="100" w:beforeAutospacing="1" w:after="100" w:afterAutospacing="1" w:line="240" w:lineRule="exact"/>
        <w:widowControl/>
        <w:rPr>
          <w:rFonts w:hint="eastAsia" w:ascii="宋体" w:hAnsi="宋体" w:eastAsia="宋体" w:cs="宋体"/>
          <w:sz w:val="24"/>
          <w:szCs w:val="21"/>
          <w14:ligatures w14:val="none"/>
        </w:rPr>
      </w:pPr>
      <w:r>
        <w:rPr>
          <w:rFonts w:hint="eastAsia" w:ascii="宋体" w:hAnsi="宋体" w:eastAsia="宋体" w:cs="宋体"/>
          <w:sz w:val="24"/>
          <w:szCs w:val="21"/>
          <w14:ligatures w14:val="none"/>
        </w:rPr>
        <w:t xml:space="preserve">授权单位名称：</w:t>
      </w:r>
      <w:r>
        <w:rPr>
          <w:rFonts w:hint="eastAsia" w:ascii="宋体" w:hAnsi="宋体" w:eastAsia="宋体" w:cs="宋体"/>
          <w:sz w:val="24"/>
          <w:szCs w:val="21"/>
          <w:u w:val="single"/>
          <w14:ligatures w14:val="none"/>
        </w:rPr>
        <w:t xml:space="preserve">（加盖CA电子公章）          </w:t>
      </w:r>
      <w:r>
        <w:rPr>
          <w:rFonts w:hint="eastAsia" w:ascii="宋体" w:hAnsi="宋体" w:eastAsia="宋体" w:cs="宋体"/>
          <w:sz w:val="24"/>
          <w:szCs w:val="21"/>
          <w14:ligatures w14:val="none"/>
        </w:rPr>
        <w:t xml:space="preserve">           </w:t>
      </w:r>
      <w:r/>
    </w:p>
    <w:p>
      <w:pPr>
        <w:ind w:firstLine="480"/>
        <w:spacing w:before="100" w:beforeAutospacing="1" w:after="100" w:afterAutospacing="1" w:line="240" w:lineRule="exact"/>
        <w:widowControl/>
        <w:rPr>
          <w:rFonts w:hint="eastAsia" w:ascii="宋体" w:hAnsi="宋体" w:eastAsia="宋体" w:cs="宋体"/>
          <w:sz w:val="24"/>
          <w:szCs w:val="21"/>
          <w14:ligatures w14:val="none"/>
        </w:rPr>
      </w:pPr>
      <w:r>
        <w:rPr>
          <w:rFonts w:hint="eastAsia" w:ascii="宋体" w:hAnsi="宋体" w:eastAsia="宋体" w:cs="宋体"/>
          <w:sz w:val="24"/>
          <w:szCs w:val="21"/>
          <w14:ligatures w14:val="none"/>
        </w:rPr>
        <w:t xml:space="preserve">单 位 地 址：</w:t>
      </w:r>
      <w:r>
        <w:rPr>
          <w:rFonts w:hint="eastAsia" w:ascii="宋体" w:hAnsi="宋体" w:eastAsia="宋体" w:cs="宋体"/>
          <w:sz w:val="24"/>
          <w:szCs w:val="21"/>
          <w:u w:val="single"/>
          <w14:ligatures w14:val="none"/>
        </w:rPr>
        <w:t xml:space="preserve">                      </w:t>
      </w:r>
      <w:r/>
    </w:p>
    <w:p>
      <w:pPr>
        <w:ind w:firstLine="480"/>
        <w:jc w:val="both"/>
        <w:spacing w:after="0" w:line="240" w:lineRule="auto"/>
        <w:tabs>
          <w:tab w:val="left" w:pos="360" w:leader="none"/>
        </w:tabs>
        <w:rPr>
          <w:rFonts w:hint="eastAsia" w:ascii="宋体" w:hAnsi="宋体" w:eastAsia="宋体" w:cs="宋体"/>
          <w:sz w:val="24"/>
          <w14:ligatures w14:val="none"/>
        </w:rPr>
      </w:pPr>
      <w:r>
        <w:rPr>
          <w:rFonts w:hint="eastAsia" w:ascii="宋体" w:hAnsi="宋体" w:eastAsia="宋体" w:cs="宋体"/>
          <w:sz w:val="24"/>
          <w:szCs w:val="22"/>
          <w14:ligatures w14:val="none"/>
        </w:rPr>
        <w:t xml:space="preserve">日       期：</w:t>
      </w:r>
      <w:r>
        <w:rPr>
          <w:rFonts w:hint="eastAsia" w:ascii="宋体" w:hAnsi="宋体" w:eastAsia="宋体" w:cs="宋体"/>
          <w:sz w:val="24"/>
          <w:szCs w:val="22"/>
          <w:u w:val="single"/>
          <w14:ligatures w14:val="none"/>
        </w:rPr>
        <w:t xml:space="preserve">                           </w:t>
      </w:r>
      <w:r>
        <w:rPr>
          <w:rFonts w:hint="eastAsia" w:ascii="宋体" w:hAnsi="宋体" w:eastAsia="宋体" w:cs="宋体"/>
          <w:sz w:val="24"/>
          <w14:ligatures w14:val="none"/>
        </w:rPr>
        <w:t xml:space="preserve"> </w:t>
      </w:r>
      <w:r/>
    </w:p>
    <w:p>
      <w:pPr>
        <w:ind w:firstLine="480"/>
        <w:jc w:val="both"/>
        <w:spacing w:after="0" w:line="240" w:lineRule="auto"/>
        <w:tabs>
          <w:tab w:val="left" w:pos="360" w:leader="none"/>
        </w:tabs>
        <w:rPr>
          <w:rFonts w:hint="eastAsia" w:ascii="宋体" w:hAnsi="宋体" w:eastAsia="宋体" w:cs="宋体"/>
          <w:sz w:val="24"/>
          <w14:ligatures w14:val="none"/>
        </w:rPr>
      </w:pPr>
      <w:r>
        <w:rPr>
          <w:rFonts w:hint="eastAsia" w:ascii="宋体" w:hAnsi="宋体" w:eastAsia="宋体" w:cs="宋体"/>
          <w:sz w:val="24"/>
          <w14:ligatures w14:val="none"/>
        </w:rPr>
        <w:t xml:space="preserve"> </w:t>
      </w:r>
      <w:bookmarkEnd w:id="217"/>
      <w:r/>
    </w:p>
    <w:p>
      <w:pPr>
        <w:ind w:firstLine="120"/>
        <w:jc w:val="both"/>
        <w:spacing w:after="0" w:line="240" w:lineRule="auto"/>
        <w:rPr>
          <w:rFonts w:hint="eastAsia" w:ascii="宋体" w:hAnsi="宋体" w:eastAsia="宋体" w:cs="宋体"/>
          <w:sz w:val="24"/>
          <w14:ligatures w14:val="none"/>
        </w:rPr>
      </w:pPr>
      <w:r/>
      <w:bookmarkStart w:id="218" w:name="_Hlt26671380"/>
      <w:r/>
      <w:bookmarkStart w:id="219" w:name="_格式3__银行出具的资信证明"/>
      <w:r/>
      <w:bookmarkStart w:id="220" w:name="_Hlt26955070"/>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left"/>
        <w:keepLines/>
        <w:keepNext/>
        <w:spacing w:before="260" w:after="260" w:line="415" w:lineRule="auto"/>
        <w:rPr>
          <w:rFonts w:hint="eastAsia" w:ascii="宋体" w:hAnsi="宋体" w:eastAsia="宋体" w:cs="宋体"/>
          <w:b/>
          <w:color w:val="000000"/>
          <w:sz w:val="24"/>
          <w14:ligatures w14:val="none"/>
        </w:rPr>
      </w:pPr>
      <w:r>
        <w:rPr>
          <w:rFonts w:hint="eastAsia" w:ascii="宋体" w:hAnsi="宋体" w:eastAsia="宋体" w:cs="宋体"/>
          <w:b/>
          <w:color w:val="000000"/>
          <w:sz w:val="24"/>
          <w14:ligatures w14:val="none"/>
        </w:rPr>
        <w:t xml:space="preserve">备注一如果我公司（单位）中标，请按以下信息寄送中标通知书</w:t>
      </w:r>
      <w:r/>
    </w:p>
    <w:p>
      <w:pPr>
        <w:jc w:val="left"/>
        <w:keepLines/>
        <w:keepNext/>
        <w:spacing w:before="260" w:after="260" w:line="415" w:lineRule="auto"/>
        <w:rPr>
          <w:rFonts w:hint="eastAsia" w:ascii="宋体" w:hAnsi="宋体" w:eastAsia="宋体" w:cs="宋体"/>
          <w:b/>
          <w:color w:val="000000"/>
          <w:sz w:val="24"/>
          <w14:ligatures w14:val="none"/>
        </w:rPr>
      </w:pPr>
      <w:r>
        <w:rPr>
          <w:rFonts w:hint="eastAsia" w:ascii="宋体" w:hAnsi="宋体" w:eastAsia="宋体" w:cs="宋体"/>
          <w:b/>
          <w:color w:val="000000"/>
          <w:sz w:val="24"/>
          <w14:ligatures w14:val="none"/>
        </w:rPr>
        <w:t xml:space="preserve">联系人：</w:t>
      </w:r>
      <w:r>
        <w:rPr>
          <w:rFonts w:hint="eastAsia" w:ascii="宋体" w:hAnsi="宋体" w:eastAsia="宋体" w:cs="宋体"/>
          <w:b/>
          <w:color w:val="000000"/>
          <w:sz w:val="24"/>
          <w:u w:val="single"/>
          <w:lang w:val="en-US" w:eastAsia="zh-CN"/>
          <w14:ligatures w14:val="none"/>
        </w:rPr>
        <w:t xml:space="preserve">                       </w:t>
      </w:r>
      <w:r>
        <w:rPr>
          <w:rFonts w:hint="eastAsia" w:ascii="宋体" w:hAnsi="宋体" w:eastAsia="宋体" w:cs="宋体"/>
          <w:b/>
          <w:color w:val="000000"/>
          <w:sz w:val="24"/>
          <w14:ligatures w14:val="none"/>
        </w:rPr>
        <w:t xml:space="preserve">                 </w:t>
      </w:r>
      <w:r/>
    </w:p>
    <w:p>
      <w:pPr>
        <w:jc w:val="left"/>
        <w:keepLines/>
        <w:keepNext/>
        <w:spacing w:before="260" w:after="260" w:line="415" w:lineRule="auto"/>
        <w:rPr>
          <w:rFonts w:hint="eastAsia" w:ascii="宋体" w:hAnsi="宋体" w:eastAsia="宋体" w:cs="宋体"/>
          <w:b/>
          <w:color w:val="000000"/>
          <w:sz w:val="24"/>
          <w14:ligatures w14:val="none"/>
        </w:rPr>
      </w:pPr>
      <w:r>
        <w:rPr>
          <w:rFonts w:hint="eastAsia" w:ascii="宋体" w:hAnsi="宋体" w:eastAsia="宋体" w:cs="宋体"/>
          <w:b/>
          <w:color w:val="000000"/>
          <w:sz w:val="24"/>
          <w14:ligatures w14:val="none"/>
        </w:rPr>
        <w:t xml:space="preserve">寄送地址：</w:t>
      </w:r>
      <w:r>
        <w:rPr>
          <w:rFonts w:hint="eastAsia" w:ascii="宋体" w:hAnsi="宋体" w:eastAsia="宋体" w:cs="宋体"/>
          <w:b/>
          <w:color w:val="000000"/>
          <w:sz w:val="24"/>
          <w:u w:val="single"/>
          <w:lang w:val="en-US" w:eastAsia="zh-CN"/>
          <w14:ligatures w14:val="none"/>
        </w:rPr>
        <w:t xml:space="preserve">                      </w:t>
      </w:r>
      <w:r>
        <w:rPr>
          <w:rFonts w:hint="eastAsia" w:ascii="宋体" w:hAnsi="宋体" w:eastAsia="宋体" w:cs="宋体"/>
          <w:b/>
          <w:color w:val="000000"/>
          <w:sz w:val="24"/>
          <w14:ligatures w14:val="none"/>
        </w:rPr>
        <w:t xml:space="preserve">                </w:t>
      </w:r>
      <w:r/>
    </w:p>
    <w:p>
      <w:pPr>
        <w:jc w:val="left"/>
        <w:keepLines/>
        <w:keepNext/>
        <w:spacing w:before="260" w:after="260" w:line="415" w:lineRule="auto"/>
        <w:rPr>
          <w:rFonts w:hint="eastAsia" w:ascii="宋体" w:hAnsi="宋体" w:eastAsia="宋体" w:cs="宋体"/>
          <w:b/>
          <w:color w:val="000000"/>
          <w:sz w:val="24"/>
          <w14:ligatures w14:val="none"/>
        </w:rPr>
      </w:pPr>
      <w:r>
        <w:rPr>
          <w:rFonts w:hint="eastAsia" w:ascii="宋体" w:hAnsi="宋体" w:eastAsia="宋体" w:cs="宋体"/>
          <w:b/>
          <w:color w:val="000000"/>
          <w:sz w:val="24"/>
          <w14:ligatures w14:val="none"/>
        </w:rPr>
        <w:t xml:space="preserve">联系电话：</w:t>
      </w:r>
      <w:r>
        <w:rPr>
          <w:rFonts w:hint="eastAsia" w:ascii="宋体" w:hAnsi="宋体" w:eastAsia="宋体" w:cs="宋体"/>
          <w:b/>
          <w:color w:val="000000"/>
          <w:sz w:val="24"/>
          <w:u w:val="single"/>
          <w:lang w:val="en-US" w:eastAsia="zh-CN"/>
          <w14:ligatures w14:val="none"/>
        </w:rPr>
        <w:t xml:space="preserve">                      </w:t>
      </w:r>
      <w:r>
        <w:rPr>
          <w:rFonts w:hint="eastAsia" w:ascii="宋体" w:hAnsi="宋体" w:eastAsia="宋体" w:cs="宋体"/>
          <w:b/>
          <w:color w:val="000000"/>
          <w:sz w:val="24"/>
          <w14:ligatures w14:val="none"/>
        </w:rPr>
        <w:t xml:space="preserve">             </w:t>
      </w:r>
      <w:r/>
    </w:p>
    <w:p>
      <w:pPr>
        <w:jc w:val="left"/>
        <w:keepLines/>
        <w:keepNext/>
        <w:spacing w:before="260" w:after="260" w:line="415" w:lineRule="auto"/>
        <w:rPr>
          <w:rFonts w:hint="eastAsia" w:ascii="宋体" w:hAnsi="宋体" w:eastAsia="宋体" w:cs="宋体"/>
          <w:b/>
          <w:color w:val="000000"/>
          <w:sz w:val="24"/>
          <w14:ligatures w14:val="none"/>
        </w:rPr>
      </w:pPr>
      <w:r>
        <w:rPr>
          <w:rFonts w:hint="eastAsia" w:ascii="宋体" w:hAnsi="宋体" w:eastAsia="宋体" w:cs="宋体"/>
          <w:b/>
          <w:color w:val="000000"/>
          <w:sz w:val="24"/>
          <w14:ligatures w14:val="none"/>
        </w:rPr>
        <w:t xml:space="preserve">     </w:t>
      </w:r>
      <w:r/>
    </w:p>
    <w:p>
      <w:pPr>
        <w:jc w:val="center"/>
        <w:keepLines/>
        <w:keepNext/>
        <w:spacing w:before="260" w:after="260" w:line="415" w:lineRule="auto"/>
        <w:rPr>
          <w:rFonts w:hint="eastAsia" w:ascii="宋体" w:hAnsi="宋体" w:eastAsia="宋体" w:cs="宋体"/>
          <w:b/>
          <w:color w:val="000000"/>
          <w:sz w:val="24"/>
          <w14:ligatures w14:val="none"/>
        </w:rPr>
      </w:pPr>
      <w:r>
        <w:rPr>
          <w:rFonts w:hint="eastAsia" w:ascii="宋体" w:hAnsi="宋体" w:eastAsia="宋体" w:cs="宋体"/>
          <w:b/>
          <w:color w:val="000000"/>
          <w:sz w:val="24"/>
          <w14:ligatures w14:val="none"/>
        </w:rPr>
      </w:r>
      <w:r/>
    </w:p>
    <w:p>
      <w:pPr>
        <w:jc w:val="center"/>
        <w:keepLines/>
        <w:keepNext/>
        <w:spacing w:before="260" w:after="260" w:line="415" w:lineRule="auto"/>
        <w:rPr>
          <w:rFonts w:hint="eastAsia" w:ascii="宋体" w:hAnsi="宋体" w:eastAsia="宋体" w:cs="宋体"/>
          <w:sz w:val="24"/>
          <w14:ligatures w14:val="none"/>
        </w:rPr>
      </w:pPr>
      <w:r>
        <w:rPr>
          <w:rFonts w:hint="eastAsia" w:ascii="宋体" w:hAnsi="宋体" w:eastAsia="宋体" w:cs="宋体"/>
          <w:b/>
          <w:color w:val="000000"/>
          <w:sz w:val="24"/>
          <w14:ligatures w14:val="none"/>
        </w:rPr>
        <w:br w:type="page" w:clear="all"/>
      </w:r>
      <w:bookmarkStart w:id="221" w:name="_Toc11878"/>
      <w:r>
        <w:rPr>
          <w:rFonts w:hint="eastAsia" w:ascii="宋体" w:hAnsi="宋体" w:eastAsia="宋体" w:cs="宋体"/>
          <w:sz w:val="32"/>
          <w:szCs w:val="32"/>
          <w14:ligatures w14:val="none"/>
        </w:rPr>
        <w:t xml:space="preserve">八、投标函</w:t>
      </w:r>
      <w:bookmarkEnd w:id="221"/>
      <w:r/>
      <w:r/>
    </w:p>
    <w:p>
      <w:pPr>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致：响水县教育局</w:t>
      </w:r>
      <w:r/>
    </w:p>
    <w:p>
      <w:pPr>
        <w:ind w:firstLine="480"/>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根据贵方的JSZC-***</w:t>
      </w:r>
      <w:r>
        <w:rPr>
          <w:rFonts w:hint="eastAsia" w:ascii="宋体" w:hAnsi="宋体" w:eastAsia="宋体" w:cs="宋体"/>
          <w:b/>
          <w:color w:val="000000"/>
          <w:sz w:val="36"/>
          <w:szCs w:val="36"/>
          <w:u w:val="single"/>
          <w14:ligatures w14:val="none"/>
        </w:rPr>
        <w:t xml:space="preserve">            </w:t>
      </w:r>
      <w:r>
        <w:rPr>
          <w:rFonts w:hint="eastAsia" w:ascii="宋体" w:hAnsi="宋体" w:eastAsia="宋体" w:cs="宋体"/>
          <w:color w:val="000000"/>
          <w:sz w:val="24"/>
          <w14:ligatures w14:val="none"/>
        </w:rPr>
        <w:t xml:space="preserve">号招标文件，正式授权下述签字人_________________(姓名)代表我方______________（投标人的名称），全权处理本次项目投标的有关事宜。</w:t>
      </w:r>
      <w:r/>
    </w:p>
    <w:p>
      <w:pPr>
        <w:ind w:firstLine="120"/>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据此函，__________签字人兹宣布同意如下：</w:t>
      </w:r>
      <w:r/>
    </w:p>
    <w:p>
      <w:pPr>
        <w:ind w:firstLine="120"/>
        <w:jc w:val="left"/>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1.按招标文件规定的各项要求，向招标方提供所需货物与服务。</w:t>
      </w:r>
      <w:r/>
    </w:p>
    <w:p>
      <w:pPr>
        <w:ind w:firstLine="120"/>
        <w:jc w:val="left"/>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2.我们完全理解贵方不一定将合同授予最低报价的投标人。</w:t>
      </w:r>
      <w:r/>
    </w:p>
    <w:p>
      <w:pPr>
        <w:ind w:firstLine="120"/>
        <w:jc w:val="left"/>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3.我们已详细审核全部招标文件及其有效补充文件，我们知道必须放弃提出含糊不清或误解问题的权利。</w:t>
      </w:r>
      <w:r/>
    </w:p>
    <w:p>
      <w:pPr>
        <w:ind w:firstLine="120"/>
        <w:jc w:val="left"/>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4.我们同意从规定的开标日期起遵循本投标文件，并在规定的投标有效期期满之前均具有约束力。</w:t>
      </w:r>
      <w:r/>
    </w:p>
    <w:p>
      <w:pPr>
        <w:ind w:firstLine="120"/>
        <w:jc w:val="left"/>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5.同意向贵方提供贵方可能另外要求的与投标有关的任何证据或资料，并保证我方已提供和将要提供的文件是真实的、准确的。</w:t>
      </w:r>
      <w:r/>
    </w:p>
    <w:p>
      <w:pPr>
        <w:ind w:firstLine="120"/>
        <w:jc w:val="left"/>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6.一旦我方中标,我方将根据招标文件的规定，严格履行合同的责任和义务,并保证在招标文件规定的时间完成项目，交付招标方验收、使用。</w:t>
      </w:r>
      <w:r/>
    </w:p>
    <w:p>
      <w:pPr>
        <w:ind w:firstLine="120"/>
        <w:jc w:val="left"/>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7.与本投标有关的正式通讯地址为：</w:t>
      </w:r>
      <w:r/>
    </w:p>
    <w:p>
      <w:pPr>
        <w:ind w:firstLine="120"/>
        <w:jc w:val="left"/>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地址：</w:t>
      </w:r>
      <w:r/>
    </w:p>
    <w:p>
      <w:pPr>
        <w:ind w:firstLine="120"/>
        <w:jc w:val="left"/>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邮编：</w:t>
      </w:r>
      <w:r/>
    </w:p>
    <w:p>
      <w:pPr>
        <w:ind w:firstLine="120"/>
        <w:jc w:val="left"/>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电话：</w:t>
      </w:r>
      <w:r/>
    </w:p>
    <w:p>
      <w:pPr>
        <w:ind w:firstLine="120"/>
        <w:jc w:val="left"/>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传真：</w:t>
      </w:r>
      <w:r/>
    </w:p>
    <w:p>
      <w:pPr>
        <w:ind w:firstLine="120"/>
        <w:jc w:val="left"/>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投标人开户行：</w:t>
      </w:r>
      <w:r/>
    </w:p>
    <w:p>
      <w:pPr>
        <w:ind w:firstLine="120"/>
        <w:jc w:val="left"/>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账户： </w:t>
      </w:r>
      <w:r/>
    </w:p>
    <w:p>
      <w:pPr>
        <w:ind w:firstLine="120"/>
        <w:jc w:val="right"/>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日期：________年____月____日</w:t>
      </w:r>
      <w:r/>
    </w:p>
    <w:p>
      <w:pPr>
        <w:ind w:firstLine="120"/>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20"/>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pStyle w:val="800"/>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jc w:val="both"/>
        <w:spacing w:line="500" w:lineRule="exact"/>
        <w:rPr>
          <w:rFonts w:hint="eastAsia"/>
          <w:sz w:val="24"/>
        </w:rPr>
      </w:pPr>
      <w:r>
        <w:rPr>
          <w:rFonts w:hint="eastAsia"/>
          <w:sz w:val="24"/>
        </w:rPr>
      </w:r>
      <w:r/>
    </w:p>
    <w:p>
      <w:pPr>
        <w:ind w:firstLine="480"/>
        <w:jc w:val="both"/>
        <w:spacing w:line="500" w:lineRule="exact"/>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sz w:val="24"/>
          <w:u w:val="single"/>
        </w:rPr>
        <w:t xml:space="preserve">（单位名称)</w:t>
      </w:r>
      <w:r>
        <w:rPr>
          <w:rFonts w:hint="eastAsia" w:ascii="宋体" w:hAnsi="宋体" w:eastAsia="宋体" w:cs="宋体"/>
          <w:sz w:val="24"/>
        </w:rPr>
        <w:t xml:space="preserve">，采购编号为</w:t>
      </w:r>
      <w:r>
        <w:rPr>
          <w:rFonts w:hint="eastAsia" w:ascii="宋体" w:hAnsi="宋体" w:eastAsia="宋体" w:cs="宋体"/>
          <w:sz w:val="24"/>
          <w:u w:val="single"/>
        </w:rPr>
        <w:t xml:space="preserve">             </w:t>
      </w:r>
      <w:r>
        <w:rPr>
          <w:rFonts w:hint="eastAsia" w:ascii="宋体" w:hAnsi="宋体" w:eastAsia="宋体" w:cs="宋体"/>
          <w:sz w:val="24"/>
        </w:rPr>
        <w:t xml:space="preserve">的</w:t>
      </w:r>
      <w:r>
        <w:rPr>
          <w:rFonts w:hint="eastAsia" w:ascii="宋体" w:hAnsi="宋体" w:eastAsia="宋体" w:cs="宋体"/>
          <w:sz w:val="24"/>
          <w:u w:val="single"/>
        </w:rPr>
        <w:t xml:space="preserve">（项目名称）       </w:t>
      </w:r>
      <w:r>
        <w:rPr>
          <w:rFonts w:hint="eastAsia" w:ascii="宋体" w:hAnsi="宋体" w:eastAsia="宋体" w:cs="宋体"/>
          <w:sz w:val="24"/>
        </w:rPr>
        <w:t xml:space="preserve">的采购活动，提供的货物全部由符合政策要求的中小企业制造。相关企业（含联合体中的中小企业、签订分包意向协议的中小企业）的具体情况如下：</w:t>
      </w:r>
      <w:r/>
    </w:p>
    <w:p>
      <w:pPr>
        <w:pStyle w:val="800"/>
        <w:ind w:firstLine="360"/>
        <w:jc w:val="both"/>
        <w:spacing w:beforeAutospacing="0" w:afterAutospacing="0" w:line="360" w:lineRule="auto"/>
        <w:rPr>
          <w:rFonts w:hint="eastAsia"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p>
    <w:p>
      <w:pPr>
        <w:pStyle w:val="800"/>
        <w:ind w:firstLine="360"/>
        <w:jc w:val="both"/>
        <w:spacing w:beforeAutospacing="0" w:afterAutospacing="0" w:line="360" w:lineRule="auto"/>
        <w:rPr>
          <w:rFonts w:hint="eastAsia"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p>
    <w:p>
      <w:pPr>
        <w:pStyle w:val="800"/>
        <w:ind w:firstLine="360"/>
        <w:jc w:val="both"/>
        <w:spacing w:beforeAutospacing="0" w:afterAutospacing="0" w:line="360" w:lineRule="auto"/>
        <w:rPr>
          <w:rFonts w:hint="eastAsia" w:ascii="宋体" w:hAnsi="宋体" w:cs="宋体"/>
        </w:rPr>
      </w:pPr>
      <w:r>
        <w:rPr>
          <w:rFonts w:hint="eastAsia" w:ascii="宋体" w:hAnsi="宋体" w:cs="宋体"/>
        </w:rPr>
        <w:t xml:space="preserve">……</w:t>
      </w:r>
      <w:r/>
    </w:p>
    <w:p>
      <w:pPr>
        <w:pStyle w:val="800"/>
        <w:ind w:firstLine="360"/>
        <w:jc w:val="both"/>
        <w:spacing w:beforeAutospacing="0" w:afterAutospacing="0" w:line="360" w:lineRule="auto"/>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pStyle w:val="800"/>
        <w:ind w:firstLine="360"/>
        <w:jc w:val="both"/>
        <w:spacing w:beforeAutospacing="0" w:afterAutospacing="0" w:line="360" w:lineRule="auto"/>
        <w:rPr>
          <w:rFonts w:hint="eastAsia" w:ascii="宋体" w:hAnsi="宋体" w:cs="宋体"/>
        </w:rPr>
      </w:pPr>
      <w:r>
        <w:rPr>
          <w:rFonts w:hint="eastAsia" w:ascii="宋体" w:hAnsi="宋体" w:cs="宋体"/>
        </w:rPr>
        <w:t xml:space="preserve">本企业对上述声明内容的真实性负责。如有虚假，将依法承担相应责任</w:t>
      </w:r>
      <w:r/>
    </w:p>
    <w:p>
      <w:pPr>
        <w:pStyle w:val="800"/>
        <w:ind w:right="720"/>
        <w:jc w:val="both"/>
        <w:spacing w:beforeAutospacing="0" w:afterAutospacing="0" w:line="360" w:lineRule="auto"/>
        <w:rPr>
          <w:rFonts w:hint="eastAsia" w:ascii="宋体" w:hAnsi="宋体" w:cs="宋体"/>
        </w:rPr>
      </w:pPr>
      <w:r>
        <w:rPr>
          <w:rFonts w:hint="eastAsia" w:ascii="宋体" w:hAnsi="宋体" w:cs="宋体"/>
        </w:rPr>
        <w:t xml:space="preserve"> </w:t>
      </w:r>
      <w:r/>
    </w:p>
    <w:p>
      <w:pPr>
        <w:pStyle w:val="800"/>
        <w:ind w:right="180" w:firstLine="360"/>
        <w:jc w:val="right"/>
        <w:spacing w:beforeAutospacing="0" w:afterAutospacing="0" w:line="360" w:lineRule="auto"/>
        <w:rPr>
          <w:rFonts w:hint="eastAsia" w:ascii="宋体" w:hAnsi="宋体" w:cs="宋体"/>
        </w:rPr>
      </w:pPr>
      <w:r>
        <w:rPr>
          <w:rFonts w:hint="eastAsia" w:ascii="宋体" w:hAnsi="宋体" w:cs="宋体"/>
        </w:rPr>
        <w:t xml:space="preserve">企业名称（加盖CA电子公章）：</w:t>
      </w:r>
      <w:r/>
    </w:p>
    <w:p>
      <w:pPr>
        <w:pStyle w:val="800"/>
        <w:ind w:right="480" w:firstLine="5400"/>
        <w:jc w:val="both"/>
        <w:spacing w:beforeAutospacing="0" w:afterAutospacing="0" w:line="360" w:lineRule="auto"/>
        <w:rPr>
          <w:rFonts w:hint="eastAsia" w:ascii="宋体" w:hAnsi="宋体" w:cs="宋体"/>
        </w:rPr>
      </w:pPr>
      <w:r>
        <w:rPr>
          <w:rFonts w:hint="eastAsia" w:ascii="宋体" w:hAnsi="宋体" w:cs="宋体"/>
        </w:rPr>
        <w:t xml:space="preserve">日  期：</w:t>
      </w:r>
      <w:r/>
    </w:p>
    <w:p>
      <w:pPr>
        <w:pStyle w:val="800"/>
        <w:ind w:firstLine="360"/>
        <w:jc w:val="both"/>
        <w:spacing w:beforeAutospacing="0" w:afterAutospacing="0" w:line="360" w:lineRule="auto"/>
        <w:rPr>
          <w:rFonts w:hint="eastAsia" w:ascii="宋体" w:hAnsi="宋体" w:cs="宋体"/>
          <w:color w:val="ff0000"/>
        </w:rPr>
      </w:pPr>
      <w:r>
        <w:rPr>
          <w:rFonts w:hint="eastAsia" w:ascii="宋体" w:hAnsi="宋体" w:cs="宋体"/>
          <w:color w:val="ff0000"/>
        </w:rPr>
        <w:t xml:space="preserve"> </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备注1：从业人员、营业收入、资产总额填报上一年度数据，无上一年度数据的新成立企业可不填报。</w:t>
      </w:r>
      <w:r/>
    </w:p>
    <w:p>
      <w:pPr>
        <w:pStyle w:val="800"/>
        <w:ind w:firstLine="480"/>
        <w:jc w:val="both"/>
        <w:spacing w:beforeAutospacing="0" w:afterAutospacing="0" w:line="360" w:lineRule="auto"/>
        <w:rPr>
          <w:rFonts w:hint="eastAsia" w:ascii="宋体" w:hAnsi="宋体" w:cs="宋体"/>
        </w:rPr>
      </w:pPr>
      <w:r>
        <w:rPr>
          <w:rFonts w:hint="eastAsia" w:ascii="宋体" w:hAnsi="宋体" w:cs="宋体"/>
          <w:color w:val="000000"/>
        </w:rPr>
        <w:t xml:space="preserve">备注2：供应商如不提供此声明函，价格将不做相应扣除（如项目全面面向中小企业，则资格审查不通过）。</w:t>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b/>
          <w:color w:val="000000"/>
          <w:sz w:val="32"/>
          <w:szCs w:val="32"/>
          <w14:ligatures w14:val="none"/>
        </w:rPr>
        <w:br w:type="page" w:clear="all"/>
      </w:r>
      <w:bookmarkStart w:id="222" w:name="_Toc15071"/>
      <w:r>
        <w:rPr>
          <w:rFonts w:hint="eastAsia" w:ascii="宋体" w:hAnsi="宋体" w:eastAsia="宋体" w:cs="宋体"/>
          <w:sz w:val="32"/>
          <w:szCs w:val="32"/>
          <w14:ligatures w14:val="none"/>
        </w:rPr>
        <w:t xml:space="preserve">十、残疾人福利性单位声明函</w:t>
      </w:r>
      <w:bookmarkEnd w:id="222"/>
      <w:r/>
      <w:r/>
    </w:p>
    <w:p>
      <w:pPr>
        <w:ind w:firstLine="12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14:ligatures w14:val="none"/>
        </w:rPr>
        <w:t xml:space="preserve">项目（分包号：**）采购活动提供本单位制造的货物，或者提供其他残疾人福利性单位制造的货物（不包括使用非残疾人福利性单位注册商标的货物）。</w:t>
      </w:r>
      <w:r/>
    </w:p>
    <w:p>
      <w:pPr>
        <w:ind w:firstLine="12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本单位对上述声明的真实性负责。如有虚假，将依法承担相应责任。</w:t>
      </w:r>
      <w:r/>
    </w:p>
    <w:p>
      <w:pPr>
        <w:ind w:firstLine="12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ind w:firstLine="12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right="1560" w:firstLine="151"/>
        <w:jc w:val="center"/>
        <w:spacing w:after="0" w:line="360" w:lineRule="auto"/>
        <w:tabs>
          <w:tab w:val="left" w:pos="4864" w:leader="none"/>
        </w:tabs>
        <w:rPr>
          <w:rFonts w:hint="eastAsia" w:ascii="宋体" w:hAnsi="宋体" w:eastAsia="宋体" w:cs="宋体"/>
          <w:sz w:val="24"/>
          <w14:ligatures w14:val="none"/>
        </w:rPr>
      </w:pPr>
      <w:r>
        <w:rPr>
          <w:rFonts w:hint="eastAsia" w:ascii="宋体" w:hAnsi="宋体" w:eastAsia="宋体" w:cs="宋体"/>
          <w:color w:val="000000"/>
          <w:sz w:val="30"/>
          <w:szCs w:val="30"/>
          <w14:ligatures w14:val="none"/>
        </w:rPr>
        <w:t xml:space="preserve">        </w:t>
      </w:r>
      <w:r>
        <w:rPr>
          <w:rFonts w:hint="eastAsia" w:ascii="宋体" w:hAnsi="宋体" w:eastAsia="宋体" w:cs="宋体"/>
          <w:color w:val="000000"/>
          <w:sz w:val="24"/>
          <w14:ligatures w14:val="none"/>
        </w:rPr>
        <w:t xml:space="preserve">   供应商全称（加盖CA电子公章）：</w:t>
      </w:r>
      <w:r/>
    </w:p>
    <w:p>
      <w:pPr>
        <w:ind w:right="1560" w:firstLine="120"/>
        <w:jc w:val="center"/>
        <w:spacing w:after="0" w:line="360" w:lineRule="auto"/>
        <w:tabs>
          <w:tab w:val="left" w:pos="4864" w:leader="none"/>
        </w:tabs>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        日  期：</w:t>
      </w:r>
      <w:r/>
    </w:p>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0" w:lineRule="atLeast"/>
        <w:rPr>
          <w:rFonts w:hint="eastAsia" w:ascii="宋体" w:hAnsi="宋体" w:eastAsia="宋体" w:cs="宋体"/>
          <w:sz w:val="32"/>
          <w:szCs w:val="32"/>
          <w14:ligatures w14:val="none"/>
        </w:rPr>
      </w:pPr>
      <w:r/>
      <w:bookmarkStart w:id="223" w:name="_Toc1691"/>
      <w:r>
        <w:rPr>
          <w:rFonts w:hint="eastAsia" w:ascii="宋体" w:hAnsi="宋体" w:eastAsia="宋体" w:cs="宋体"/>
          <w:sz w:val="32"/>
          <w:szCs w:val="32"/>
          <w14:ligatures w14:val="none"/>
        </w:rPr>
        <w:t xml:space="preserve">十一、联合体协议（参考格式）</w:t>
      </w:r>
      <w:bookmarkEnd w:id="223"/>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（联合体中各供应商全称）在此达成以下协议：</w:t>
      </w:r>
      <w:r/>
    </w:p>
    <w:p>
      <w:pPr>
        <w:ind w:firstLine="12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1、我们</w:t>
      </w:r>
      <w:r>
        <w:rPr>
          <w:rFonts w:hint="eastAsia" w:ascii="宋体" w:hAnsi="宋体" w:eastAsia="宋体" w:cs="宋体"/>
          <w:color w:val="000000"/>
          <w:sz w:val="24"/>
          <w:u w:val="single"/>
          <w14:ligatures w14:val="none"/>
        </w:rPr>
        <w:t xml:space="preserve"> （供应商1），（供应商2） ，……</w:t>
      </w:r>
      <w:r>
        <w:rPr>
          <w:rFonts w:hint="eastAsia" w:ascii="宋体" w:hAnsi="宋体" w:eastAsia="宋体" w:cs="宋体"/>
          <w:color w:val="000000"/>
          <w:sz w:val="24"/>
          <w14:ligatures w14:val="none"/>
        </w:rPr>
        <w:t xml:space="preserve">自愿组成联合体，参加响水县教育局组织的采购编号为</w:t>
      </w:r>
      <w:r>
        <w:rPr>
          <w:rFonts w:hint="eastAsia" w:ascii="宋体" w:hAnsi="宋体" w:eastAsia="宋体" w:cs="宋体"/>
          <w:color w:val="000000"/>
          <w:sz w:val="24"/>
          <w:u w:val="single"/>
          <w14:ligatures w14:val="none"/>
        </w:rPr>
        <w:t xml:space="preserve">（编号全称），（项目全称）</w:t>
      </w:r>
      <w:r>
        <w:rPr>
          <w:rFonts w:hint="eastAsia" w:ascii="宋体" w:hAnsi="宋体" w:eastAsia="宋体" w:cs="宋体"/>
          <w:color w:val="000000"/>
          <w:sz w:val="24"/>
          <w14:ligatures w14:val="none"/>
        </w:rPr>
        <w:t xml:space="preserve">项目（分包号：**）的政府采购活动，我联合体指定</w:t>
      </w:r>
      <w:r>
        <w:rPr>
          <w:rFonts w:hint="eastAsia" w:ascii="宋体" w:hAnsi="宋体" w:eastAsia="宋体" w:cs="宋体"/>
          <w:color w:val="000000"/>
          <w:sz w:val="24"/>
          <w:u w:val="single"/>
          <w14:ligatures w14:val="none"/>
        </w:rPr>
        <w:t xml:space="preserve">（供应商*）</w:t>
      </w:r>
      <w:r>
        <w:rPr>
          <w:rFonts w:hint="eastAsia" w:ascii="宋体" w:hAnsi="宋体" w:eastAsia="宋体" w:cs="宋体"/>
          <w:color w:val="000000"/>
          <w:sz w:val="24"/>
          <w14:ligatures w14:val="none"/>
        </w:rPr>
        <w:t xml:space="preserve">为牵头单位（牵头单位必须为联合体成员）。</w:t>
      </w:r>
      <w:r/>
    </w:p>
    <w:p>
      <w:pPr>
        <w:ind w:firstLine="12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12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3、其中</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14:ligatures w14:val="none"/>
        </w:rPr>
        <w:t xml:space="preserve">（小型、微型企业/残疾人福利性单位/监狱企业全称）为</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14:ligatures w14: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14:ligatures w14:val="none"/>
        </w:rPr>
        <w:t xml:space="preserve">%。</w:t>
      </w:r>
      <w:r/>
    </w:p>
    <w:p>
      <w:pPr>
        <w:ind w:firstLine="120"/>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备注：本招标文件中要求加盖CA电子签章的地方，仅需加盖牵头单位的CA电子签章。</w:t>
      </w:r>
      <w:r/>
    </w:p>
    <w:p>
      <w:pPr>
        <w:ind w:firstLine="12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                                          </w:t>
      </w:r>
      <w:r/>
    </w:p>
    <w:p>
      <w:pPr>
        <w:ind w:firstLine="120"/>
        <w:jc w:val="right"/>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联合体中各供应商全称（公章）：     </w:t>
      </w:r>
      <w:r/>
    </w:p>
    <w:p>
      <w:pPr>
        <w:ind w:firstLine="120"/>
        <w:jc w:val="center"/>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日期：</w:t>
      </w:r>
      <w:r/>
    </w:p>
    <w:p>
      <w:pPr>
        <w:ind w:firstLine="120"/>
        <w:jc w:val="right"/>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0" w:lineRule="atLeast"/>
        <w:rPr>
          <w:rFonts w:hint="eastAsia" w:ascii="宋体" w:hAnsi="宋体" w:eastAsia="宋体" w:cs="宋体"/>
          <w:sz w:val="32"/>
          <w:szCs w:val="32"/>
          <w14:ligatures w14:val="none"/>
        </w:rPr>
      </w:pPr>
      <w:r/>
      <w:bookmarkStart w:id="224" w:name="_Toc8335"/>
      <w:r>
        <w:rPr>
          <w:rFonts w:hint="eastAsia" w:ascii="宋体" w:hAnsi="宋体" w:eastAsia="宋体" w:cs="宋体"/>
          <w:sz w:val="32"/>
          <w:szCs w:val="32"/>
          <w14:ligatures w14:val="none"/>
        </w:rPr>
        <w:t xml:space="preserve">十二、投标分项报价表（分包号：***）</w:t>
      </w:r>
      <w:bookmarkEnd w:id="224"/>
      <w:r/>
      <w:r/>
    </w:p>
    <w:tbl>
      <w:tblPr>
        <w:tblStyle w:val="790"/>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53"/>
        <w:gridCol w:w="928"/>
        <w:gridCol w:w="956"/>
        <w:gridCol w:w="999"/>
        <w:gridCol w:w="956"/>
        <w:gridCol w:w="799"/>
        <w:gridCol w:w="1109"/>
        <w:gridCol w:w="1007"/>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序号</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2</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3</w:t>
            </w:r>
            <w:r/>
          </w:p>
        </w:tc>
        <w:tc>
          <w:tcPr>
            <w:tcBorders>
              <w:top w:val="single" w:color="000000" w:sz="4" w:space="0"/>
              <w:left w:val="single" w:color="000000" w:sz="4" w:space="0"/>
              <w:bottom w:val="single" w:color="000000" w:sz="4" w:space="0"/>
              <w:right w:val="single" w:color="auto" w:sz="4" w:space="0"/>
            </w:tcBorders>
            <w:tcW w:w="956" w:type="dxa"/>
            <w:vAlign w:val="center"/>
            <w:textDirection w:val="lrTb"/>
            <w:noWrap w:val="false"/>
          </w:tcPr>
          <w:p>
            <w:pPr>
              <w:jc w:val="center"/>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4</w:t>
            </w:r>
            <w:r/>
          </w:p>
        </w:tc>
        <w:tc>
          <w:tcPr>
            <w:tcBorders>
              <w:top w:val="single" w:color="000000" w:sz="4" w:space="0"/>
              <w:left w:val="single" w:color="auto" w:sz="4" w:space="0"/>
              <w:bottom w:val="single" w:color="000000" w:sz="4" w:space="0"/>
              <w:right w:val="single" w:color="000000" w:sz="4" w:space="0"/>
            </w:tcBorders>
            <w:tcW w:w="799" w:type="dxa"/>
            <w:vAlign w:val="center"/>
            <w:textDirection w:val="lrTb"/>
            <w:noWrap w:val="false"/>
          </w:tcPr>
          <w:p>
            <w:pPr>
              <w:jc w:val="center"/>
              <w:spacing w:beforeAutospacing="1" w:after="0" w:afterAutospacing="1"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5</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6</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spacing w:after="0" w:line="0" w:lineRule="atLeast"/>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7</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spacing w:after="0" w:line="0" w:lineRule="atLeast"/>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产品</w:t>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名称</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品牌</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spacing w:after="0" w:line="0" w:lineRule="atLeast"/>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规格</w:t>
            </w:r>
            <w:r/>
          </w:p>
          <w:p>
            <w:pPr>
              <w:jc w:val="center"/>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型号</w:t>
            </w:r>
            <w:r/>
          </w:p>
        </w:tc>
        <w:tc>
          <w:tcPr>
            <w:tcBorders>
              <w:top w:val="single" w:color="000000" w:sz="4" w:space="0"/>
              <w:left w:val="single" w:color="000000" w:sz="4" w:space="0"/>
              <w:bottom w:val="single" w:color="000000" w:sz="4" w:space="0"/>
              <w:right w:val="single" w:color="auto" w:sz="4" w:space="0"/>
            </w:tcBorders>
            <w:tcW w:w="956" w:type="dxa"/>
            <w:vAlign w:val="center"/>
            <w:textDirection w:val="lrTb"/>
            <w:noWrap w:val="false"/>
          </w:tcPr>
          <w:p>
            <w:pPr>
              <w:jc w:val="center"/>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单位</w:t>
            </w:r>
            <w:r/>
          </w:p>
        </w:tc>
        <w:tc>
          <w:tcPr>
            <w:tcBorders>
              <w:top w:val="single" w:color="000000" w:sz="4" w:space="0"/>
              <w:left w:val="single" w:color="auto" w:sz="4" w:space="0"/>
              <w:bottom w:val="single" w:color="000000" w:sz="4" w:space="0"/>
              <w:right w:val="single" w:color="000000" w:sz="4" w:space="0"/>
            </w:tcBorders>
            <w:tcW w:w="799" w:type="dxa"/>
            <w:vAlign w:val="center"/>
            <w:textDirection w:val="lrTb"/>
            <w:noWrap w:val="false"/>
          </w:tcPr>
          <w:p>
            <w:pPr>
              <w:jc w:val="center"/>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数量</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center"/>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分项单价</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spacing w:after="0" w:line="0" w:lineRule="atLeast"/>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2</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auto" w:sz="4" w:space="0"/>
            </w:tcBorders>
            <w:tcW w:w="956"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auto" w:sz="4" w:space="0"/>
              <w:bottom w:val="single" w:color="000000" w:sz="4" w:space="0"/>
              <w:right w:val="single" w:color="000000" w:sz="4" w:space="0"/>
            </w:tcBorders>
            <w:tcW w:w="799"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3</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auto" w:sz="4" w:space="0"/>
            </w:tcBorders>
            <w:tcW w:w="956"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auto" w:sz="4" w:space="0"/>
              <w:bottom w:val="single" w:color="000000" w:sz="4" w:space="0"/>
              <w:right w:val="single" w:color="000000" w:sz="4" w:space="0"/>
            </w:tcBorders>
            <w:tcW w:w="799"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4</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auto" w:sz="4" w:space="0"/>
            </w:tcBorders>
            <w:tcW w:w="956"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auto" w:sz="4" w:space="0"/>
              <w:bottom w:val="single" w:color="000000" w:sz="4" w:space="0"/>
              <w:right w:val="single" w:color="000000" w:sz="4" w:space="0"/>
            </w:tcBorders>
            <w:tcW w:w="799"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jc w:val="center"/>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auto" w:sz="4" w:space="0"/>
            </w:tcBorders>
            <w:tcW w:w="956"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auto" w:sz="4" w:space="0"/>
              <w:bottom w:val="single" w:color="000000" w:sz="4" w:space="0"/>
              <w:right w:val="single" w:color="000000" w:sz="4" w:space="0"/>
            </w:tcBorders>
            <w:tcW w:w="799"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tc>
      </w:tr>
      <w:tr>
        <w:trPr>
          <w:tblCellSpacing w:w="0" w:type="dxa"/>
          <w:trHeight w:val="580"/>
        </w:trPr>
        <w:tc>
          <w:tcPr>
            <w:gridSpan w:val="7"/>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t xml:space="preserve">总价（元）</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both"/>
              <w:spacing w:after="0" w:line="0" w:lineRule="atLeast"/>
              <w:rPr>
                <w:rFonts w:hint="eastAsia" w:ascii="宋体" w:hAnsi="宋体" w:eastAsia="宋体" w:cs="宋体"/>
                <w:sz w:val="24"/>
                <w14:ligatures w14:val="none"/>
              </w:rPr>
            </w:pPr>
            <w:r>
              <w:rPr>
                <w:rFonts w:hint="eastAsia" w:ascii="宋体" w:hAnsi="宋体" w:eastAsia="宋体" w:cs="宋体"/>
                <w:sz w:val="24"/>
                <w14:ligatures w14:val="none"/>
              </w:rPr>
            </w:r>
            <w:r/>
          </w:p>
        </w:tc>
      </w:tr>
    </w:tbl>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宋体" w:hAnsi="宋体" w:eastAsia="宋体" w:cs="宋体"/>
          <w:color w:val="000000"/>
          <w:sz w:val="21"/>
          <w:szCs w:val="21"/>
          <w14:ligatures w14:val="none"/>
        </w:rPr>
        <w:t xml:space="preserve"> “</w:t>
      </w:r>
      <w:r>
        <w:rPr>
          <w:rFonts w:hint="eastAsia" w:ascii="宋体" w:hAnsi="宋体" w:eastAsia="宋体" w:cs="宋体"/>
          <w:color w:val="000000"/>
          <w:sz w:val="24"/>
          <w14:ligatures w14:val="none"/>
        </w:rPr>
        <w:t xml:space="preserve">投标分项报价表</w:t>
      </w:r>
      <w:r>
        <w:rPr>
          <w:rFonts w:hint="eastAsia" w:ascii="宋体" w:hAnsi="宋体" w:eastAsia="宋体" w:cs="宋体"/>
          <w:color w:val="000000"/>
          <w:sz w:val="21"/>
          <w:szCs w:val="21"/>
          <w14:ligatures w14:val="none"/>
        </w:rPr>
        <w:t xml:space="preserve">”</w:t>
      </w:r>
      <w:r>
        <w:rPr>
          <w:rFonts w:hint="eastAsia" w:ascii="宋体" w:hAnsi="宋体" w:eastAsia="宋体" w:cs="宋体"/>
          <w:color w:val="000000"/>
          <w:sz w:val="24"/>
          <w14:ligatures w14:val="none"/>
        </w:rPr>
        <w:t xml:space="preserve">中“投标总报价”数额应当与“开标一览表”中“投标总报价”数额一致。</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0" w:lineRule="atLeast"/>
        <w:rPr>
          <w:rFonts w:hint="eastAsia" w:ascii="宋体" w:hAnsi="宋体" w:eastAsia="宋体" w:cs="宋体"/>
          <w:sz w:val="32"/>
          <w:szCs w:val="32"/>
          <w14:ligatures w14:val="none"/>
        </w:rPr>
      </w:pPr>
      <w:r/>
      <w:bookmarkStart w:id="225" w:name="_Toc22887"/>
      <w:r>
        <w:rPr>
          <w:rFonts w:hint="eastAsia" w:ascii="宋体" w:hAnsi="宋体" w:eastAsia="宋体" w:cs="宋体"/>
          <w:sz w:val="32"/>
          <w:szCs w:val="32"/>
          <w14:ligatures w14:val="none"/>
        </w:rPr>
        <w:t xml:space="preserve">十三、</w:t>
      </w:r>
      <w:bookmarkEnd w:id="225"/>
      <w:r>
        <w:rPr>
          <w:rFonts w:hint="eastAsia" w:ascii="宋体" w:hAnsi="宋体" w:eastAsia="宋体" w:cs="宋体"/>
          <w:sz w:val="32"/>
          <w:szCs w:val="32"/>
          <w14:ligatures w14:val="none"/>
        </w:rPr>
        <w:t xml:space="preserve">技术响应偏离表</w:t>
      </w:r>
      <w:r/>
    </w:p>
    <w:tbl>
      <w:tblPr>
        <w:tblStyle w:val="790"/>
        <w:tblW w:w="0" w:type="auto"/>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38"/>
        <w:gridCol w:w="3034"/>
        <w:gridCol w:w="2615"/>
        <w:gridCol w:w="1249"/>
        <w:gridCol w:w="1103"/>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序号</w:t>
            </w:r>
            <w:r/>
          </w:p>
        </w:tc>
        <w:tc>
          <w:tcPr>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证明</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3034"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w:t>
            </w:r>
            <w:r/>
          </w:p>
        </w:tc>
        <w:tc>
          <w:tcPr>
            <w:tcBorders>
              <w:top w:val="single" w:color="000000" w:sz="4" w:space="0"/>
              <w:left w:val="single" w:color="000000" w:sz="4" w:space="0"/>
              <w:bottom w:val="single" w:color="000000" w:sz="4" w:space="0"/>
              <w:right w:val="single" w:color="000000" w:sz="4" w:space="0"/>
            </w:tcBorders>
            <w:tcW w:w="2615"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r>
    </w:tbl>
    <w:p>
      <w:pPr>
        <w:pStyle w:val="800"/>
        <w:ind w:left="0" w:right="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注：1、按照基本技术要求详细填列。</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2、行数不够，可自行添加。</w:t>
      </w:r>
      <w:r>
        <w:rPr>
          <w:rFonts w:hint="eastAsia" w:ascii="宋体" w:hAnsi="宋体" w:eastAsia="宋体" w:cs="宋体"/>
          <w:sz w:val="24"/>
          <w14:ligatures w14:val="none"/>
        </w:rPr>
        <w:t xml:space="preserve"> </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0" w:lineRule="atLeast"/>
        <w:rPr>
          <w:rFonts w:hint="eastAsia" w:ascii="宋体" w:hAnsi="宋体" w:eastAsia="宋体" w:cs="宋体"/>
          <w:sz w:val="32"/>
          <w:szCs w:val="32"/>
          <w14:ligatures w14:val="none"/>
        </w:rPr>
      </w:pPr>
      <w:r/>
      <w:bookmarkStart w:id="226" w:name="_Toc24631"/>
      <w:r/>
      <w:bookmarkStart w:id="227" w:name="_Hlt26955054"/>
      <w:r>
        <w:rPr>
          <w:rFonts w:hint="eastAsia" w:ascii="宋体" w:hAnsi="宋体" w:eastAsia="宋体" w:cs="宋体"/>
          <w:sz w:val="32"/>
          <w:szCs w:val="32"/>
          <w14:ligatures w14:val="none"/>
        </w:rPr>
        <w:br w:type="page" w:clear="all"/>
      </w:r>
      <w:r>
        <w:rPr>
          <w:rFonts w:hint="eastAsia" w:ascii="宋体" w:hAnsi="宋体" w:eastAsia="宋体" w:cs="宋体"/>
          <w:sz w:val="32"/>
          <w:szCs w:val="32"/>
          <w14:ligatures w14:val="none"/>
        </w:rPr>
        <w:t xml:space="preserve">十四、商务要求响应偏离表</w:t>
      </w:r>
      <w:bookmarkEnd w:id="226"/>
      <w:r/>
      <w:r/>
    </w:p>
    <w:tbl>
      <w:tblPr>
        <w:tblStyle w:val="790"/>
        <w:tblW w:w="0" w:type="auto"/>
        <w:tblCellSpacing w:w="0" w:type="dxa"/>
        <w:tblInd w:w="11"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bookmarkStart w:id="228" w:name="_Hlt24879081"/>
            <w:r/>
            <w:bookmarkStart w:id="229" w:name="_Hlt26609391"/>
            <w:r/>
            <w:bookmarkStart w:id="230" w:name="_Hlt26782999"/>
            <w:r/>
            <w:bookmarkStart w:id="231" w:name="_Hlt26580838"/>
            <w:r/>
            <w:bookmarkStart w:id="232" w:name="_Hlt26955056"/>
            <w:r/>
            <w:bookmarkStart w:id="233" w:name="_Hlt26671343"/>
            <w:r/>
            <w:bookmarkStart w:id="234" w:name="_Hlt26671372"/>
            <w:r/>
            <w:bookmarkStart w:id="235" w:name="_Hlt26955064"/>
            <w:r>
              <w:rPr>
                <w:rFonts w:hint="eastAsia" w:ascii="宋体" w:hAnsi="宋体" w:eastAsia="宋体" w:cs="宋体"/>
                <w:color w:val="000000"/>
                <w:sz w:val="24"/>
                <w14:ligatures w14:val="none"/>
              </w:rPr>
              <w:t xml:space="preserve">序号</w:t>
            </w:r>
            <w:bookmarkEnd w:id="228"/>
            <w:bookmarkEnd w:id="229"/>
            <w:bookmarkEnd w:id="230"/>
            <w:bookmarkEnd w:id="231"/>
            <w:bookmarkEnd w:id="232"/>
            <w:bookmarkEnd w:id="233"/>
            <w:bookmarkEnd w:id="234"/>
            <w:bookmarkEnd w:id="235"/>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证明</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tc>
      </w:tr>
    </w:tbl>
    <w:p>
      <w:pPr>
        <w:jc w:val="both"/>
        <w:spacing w:after="0" w:line="24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注： 行数不够，可自行添加。</w:t>
      </w:r>
      <w:r/>
    </w:p>
    <w:p>
      <w:pPr>
        <w:jc w:val="both"/>
        <w:spacing w:after="0" w:line="48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48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240" w:lineRule="auto"/>
        <w:rPr>
          <w:rFonts w:hint="eastAsia" w:ascii="宋体" w:hAnsi="宋体" w:eastAsia="宋体" w:cs="宋体"/>
          <w:sz w:val="24"/>
          <w14:ligatures w14:val="none"/>
        </w:rPr>
      </w:pPr>
      <w:r/>
      <w:bookmarkStart w:id="236" w:name="_Hlt26609389"/>
      <w:r/>
      <w:bookmarkStart w:id="237" w:name="_Hlt26955066"/>
      <w:r/>
      <w:bookmarkStart w:id="238" w:name="_Hlt26671374"/>
      <w:r/>
      <w:bookmarkStart w:id="239" w:name="_格式2__法定代表人授权书"/>
      <w:r/>
      <w:bookmarkStart w:id="240" w:name="_Toc462564146"/>
      <w:r>
        <w:rPr>
          <w:rFonts w:hint="eastAsia" w:ascii="宋体" w:hAnsi="宋体" w:eastAsia="宋体" w:cs="宋体"/>
          <w:sz w:val="24"/>
          <w14:ligatures w14:val="none"/>
        </w:rPr>
        <w:t xml:space="preserve"> </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center"/>
        <w:spacing w:after="0" w:line="0" w:lineRule="atLeast"/>
        <w:rPr>
          <w:rFonts w:hint="eastAsia" w:ascii="宋体" w:hAnsi="宋体" w:eastAsia="宋体" w:cs="宋体"/>
          <w:sz w:val="32"/>
          <w:szCs w:val="32"/>
          <w14:ligatures w14:val="none"/>
        </w:rPr>
      </w:pPr>
      <w:r/>
      <w:bookmarkStart w:id="241" w:name="_Toc10096"/>
      <w:r>
        <w:rPr>
          <w:rFonts w:hint="eastAsia" w:ascii="宋体" w:hAnsi="宋体" w:eastAsia="宋体" w:cs="宋体"/>
          <w:sz w:val="32"/>
          <w:szCs w:val="32"/>
          <w14:ligatures w14:val="none"/>
        </w:rPr>
        <w:br w:type="page" w:clear="all"/>
      </w:r>
      <w:r>
        <w:rPr>
          <w:rFonts w:hint="eastAsia" w:ascii="宋体" w:hAnsi="宋体" w:eastAsia="宋体" w:cs="宋体"/>
          <w:sz w:val="32"/>
          <w:szCs w:val="32"/>
          <w14:ligatures w14:val="none"/>
        </w:rPr>
        <w:t xml:space="preserve">十五、开标一览表</w:t>
      </w:r>
      <w:bookmarkEnd w:id="241"/>
      <w:r/>
      <w:r/>
    </w:p>
    <w:p>
      <w:pPr>
        <w:ind w:firstLine="12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投标人全称（加盖CA电子签章）：</w:t>
      </w:r>
      <w:r/>
    </w:p>
    <w:p>
      <w:pPr>
        <w:ind w:firstLine="120"/>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项目名称：</w:t>
      </w:r>
      <w:r/>
    </w:p>
    <w:p>
      <w:pPr>
        <w:ind w:firstLine="12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招标编号：</w:t>
      </w:r>
      <w:r/>
    </w:p>
    <w:p>
      <w:pPr>
        <w:ind w:firstLine="120"/>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分包号：</w:t>
      </w:r>
      <w:r/>
    </w:p>
    <w:tbl>
      <w:tblPr>
        <w:tblStyle w:val="790"/>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00"/>
              <w:jc w:val="center"/>
              <w:spacing w:beforeAutospacing="0" w:afterAutospacing="0"/>
            </w:pPr>
            <w:r>
              <w:rPr>
                <w:rFonts w:hint="eastAsia" w:ascii="宋体" w:hAnsi="宋体" w:cs="宋体"/>
                <w:color w:val="000000"/>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00"/>
              <w:spacing w:beforeAutospacing="0" w:afterAutospacing="0" w:line="0" w:lineRule="atLeast"/>
              <w:rPr>
                <w:rFonts w:hint="eastAsia" w:ascii="宋体" w:hAnsi="宋体" w:cs="宋体"/>
                <w:color w:val="000000"/>
              </w:rPr>
            </w:pPr>
            <w:r>
              <w:rPr>
                <w:rFonts w:hint="eastAsia" w:ascii="宋体" w:hAnsi="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00"/>
              <w:spacing w:beforeAutospacing="0" w:afterAutospacing="0" w:line="0" w:lineRule="atLeast"/>
            </w:pPr>
            <w:r>
              <w:rPr>
                <w:rFonts w:hint="eastAsia" w:ascii="宋体" w:hAnsi="宋体" w:cs="宋体"/>
                <w:color w:val="000000"/>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00"/>
              <w:jc w:val="center"/>
              <w:spacing w:beforeAutospacing="0" w:afterAutospacing="0" w:line="300" w:lineRule="auto"/>
            </w:pPr>
            <w:r>
              <w:rPr>
                <w:rFonts w:hint="eastAsia" w:ascii="宋体" w:hAnsi="宋体" w:cs="宋体"/>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00"/>
              <w:spacing w:beforeAutospacing="0" w:afterAutospacing="0" w:line="0" w:lineRule="atLeast"/>
            </w:pPr>
            <w:r>
              <w:t xml:space="preserve"> </w:t>
            </w:r>
            <w:r/>
          </w:p>
        </w:tc>
      </w:tr>
    </w:tbl>
    <w:p>
      <w:pPr>
        <w:pStyle w:val="800"/>
        <w:jc w:val="both"/>
        <w:spacing w:beforeAutospacing="0" w:afterAutospacing="0"/>
      </w:pPr>
      <w:r>
        <w:t xml:space="preserve"> </w:t>
      </w:r>
      <w:r/>
    </w:p>
    <w:p>
      <w:pPr>
        <w:pStyle w:val="800"/>
        <w:ind w:firstLine="480"/>
        <w:jc w:val="both"/>
        <w:spacing w:beforeAutospacing="0" w:afterAutospacing="0"/>
      </w:pPr>
      <w:r>
        <w:rPr>
          <w:rFonts w:hint="eastAsia" w:ascii="宋体" w:hAnsi="宋体" w:cs="宋体"/>
          <w:color w:val="000000"/>
        </w:rPr>
        <w:t xml:space="preserve">                                              日期：  </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ind w:firstLine="120"/>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ind w:firstLine="120"/>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ind w:firstLine="120"/>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ind w:firstLine="120"/>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ind w:firstLine="120"/>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ind w:firstLine="120"/>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20"/>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jc w:val="both"/>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t xml:space="preserve"> </w:t>
      </w:r>
      <w:r/>
    </w:p>
    <w:p>
      <w:pPr>
        <w:ind w:firstLine="160"/>
        <w:jc w:val="center"/>
        <w:spacing w:after="0" w:line="240" w:lineRule="auto"/>
        <w:rPr>
          <w:rFonts w:hint="eastAsia" w:ascii="宋体" w:hAnsi="宋体" w:eastAsia="宋体" w:cs="宋体"/>
          <w:b/>
          <w:color w:val="000000"/>
          <w:sz w:val="32"/>
          <w:szCs w:val="32"/>
          <w14:ligatures w14:val="none"/>
        </w:rPr>
      </w:pPr>
      <w:r>
        <w:rPr>
          <w:rFonts w:hint="eastAsia" w:ascii="宋体" w:hAnsi="宋体" w:eastAsia="宋体" w:cs="宋体"/>
          <w:b/>
          <w:color w:val="000000"/>
          <w:sz w:val="32"/>
          <w:szCs w:val="32"/>
          <w14:ligatures w14:val="none"/>
        </w:rPr>
      </w:r>
      <w:r/>
    </w:p>
    <w:p>
      <w:pPr>
        <w:ind w:firstLine="160"/>
        <w:spacing w:after="0" w:line="240" w:lineRule="auto"/>
        <w:rPr>
          <w:rFonts w:hint="eastAsia" w:ascii="宋体" w:hAnsi="宋体" w:eastAsia="宋体" w:cs="宋体"/>
          <w:b/>
          <w:color w:val="000000"/>
          <w:sz w:val="32"/>
          <w:szCs w:val="32"/>
          <w14:ligatures w14:val="none"/>
        </w:rPr>
      </w:pPr>
      <w:r>
        <w:rPr>
          <w:rFonts w:hint="eastAsia" w:ascii="宋体" w:hAnsi="宋体" w:eastAsia="宋体" w:cs="宋体"/>
          <w:b/>
          <w:color w:val="000000"/>
          <w:sz w:val="32"/>
          <w:szCs w:val="32"/>
          <w14:ligatures w14:val="none"/>
        </w:rPr>
      </w:r>
      <w:r/>
    </w:p>
    <w:p>
      <w:pPr>
        <w:ind w:firstLine="160"/>
        <w:spacing w:after="0" w:line="240" w:lineRule="auto"/>
        <w:rPr>
          <w:rFonts w:hint="eastAsia" w:ascii="宋体" w:hAnsi="宋体" w:eastAsia="宋体" w:cs="宋体"/>
          <w:b/>
          <w:color w:val="000000"/>
          <w:sz w:val="32"/>
          <w:szCs w:val="32"/>
          <w14:ligatures w14:val="none"/>
        </w:rPr>
      </w:pPr>
      <w:r>
        <w:rPr>
          <w:rFonts w:hint="eastAsia" w:ascii="宋体" w:hAnsi="宋体" w:eastAsia="宋体" w:cs="宋体"/>
          <w:b/>
          <w:color w:val="000000"/>
          <w:sz w:val="32"/>
          <w:szCs w:val="32"/>
          <w14:ligatures w14:val="none"/>
        </w:rPr>
      </w:r>
      <w:r/>
    </w:p>
    <w:p>
      <w:pPr>
        <w:ind w:firstLine="160"/>
        <w:spacing w:after="0" w:line="240" w:lineRule="auto"/>
        <w:rPr>
          <w:rFonts w:hint="eastAsia" w:ascii="宋体" w:hAnsi="宋体" w:eastAsia="宋体" w:cs="宋体"/>
          <w:b/>
          <w:color w:val="000000"/>
          <w:sz w:val="32"/>
          <w:szCs w:val="32"/>
          <w14:ligatures w14:val="none"/>
        </w:rPr>
      </w:pPr>
      <w:r>
        <w:rPr>
          <w:rFonts w:hint="eastAsia" w:ascii="宋体" w:hAnsi="宋体" w:eastAsia="宋体" w:cs="宋体"/>
          <w:b/>
          <w:color w:val="000000"/>
          <w:sz w:val="32"/>
          <w:szCs w:val="32"/>
          <w14:ligatures w14:val="none"/>
        </w:rPr>
      </w:r>
      <w:r/>
    </w:p>
    <w:p>
      <w:pPr>
        <w:ind w:firstLine="160"/>
        <w:spacing w:after="0" w:line="240" w:lineRule="auto"/>
        <w:rPr>
          <w:rFonts w:hint="eastAsia" w:ascii="宋体" w:hAnsi="宋体" w:eastAsia="宋体" w:cs="宋体"/>
          <w:b/>
          <w:color w:val="000000"/>
          <w:sz w:val="32"/>
          <w:szCs w:val="32"/>
          <w14:ligatures w14:val="none"/>
        </w:rPr>
      </w:pPr>
      <w:r>
        <w:rPr>
          <w:rFonts w:hint="eastAsia" w:ascii="宋体" w:hAnsi="宋体" w:eastAsia="宋体" w:cs="宋体"/>
          <w:b/>
          <w:color w:val="000000"/>
          <w:sz w:val="32"/>
          <w:szCs w:val="32"/>
          <w14:ligatures w14:val="none"/>
        </w:rPr>
      </w:r>
      <w:r/>
    </w:p>
    <w:p>
      <w:pPr>
        <w:ind w:firstLine="160"/>
        <w:spacing w:after="0" w:line="240" w:lineRule="auto"/>
        <w:rPr>
          <w:rFonts w:hint="eastAsia" w:ascii="宋体" w:hAnsi="宋体" w:eastAsia="宋体" w:cs="宋体"/>
          <w:b/>
          <w:color w:val="000000"/>
          <w:sz w:val="32"/>
          <w:szCs w:val="32"/>
          <w14:ligatures w14:val="none"/>
        </w:rPr>
      </w:pPr>
      <w:r>
        <w:rPr>
          <w:rFonts w:hint="eastAsia" w:ascii="宋体" w:hAnsi="宋体" w:eastAsia="宋体" w:cs="宋体"/>
          <w:b/>
          <w:color w:val="000000"/>
          <w:sz w:val="32"/>
          <w:szCs w:val="32"/>
          <w14:ligatures w14:val="none"/>
        </w:rPr>
      </w:r>
      <w:r/>
    </w:p>
    <w:p>
      <w:pPr>
        <w:spacing w:after="0" w:line="240" w:lineRule="auto"/>
        <w:rPr>
          <w:rFonts w:hint="eastAsia" w:ascii="宋体" w:hAnsi="宋体" w:eastAsia="宋体" w:cs="宋体"/>
          <w:b/>
          <w:color w:val="000000"/>
          <w:sz w:val="32"/>
          <w:szCs w:val="32"/>
          <w14:ligatures w14:val="none"/>
        </w:rPr>
      </w:pPr>
      <w:r>
        <w:rPr>
          <w:rFonts w:hint="eastAsia" w:ascii="宋体" w:hAnsi="宋体" w:eastAsia="宋体" w:cs="宋体"/>
          <w:b/>
          <w:color w:val="000000"/>
          <w:sz w:val="32"/>
          <w:szCs w:val="32"/>
          <w14:ligatures w14:val="none"/>
        </w:rPr>
      </w:r>
      <w:r/>
    </w:p>
    <w:p>
      <w:pPr>
        <w:ind w:firstLine="120"/>
        <w:jc w:val="center"/>
        <w:spacing w:before="50" w:after="50" w:line="240" w:lineRule="auto"/>
        <w:widowControl/>
        <w:rPr>
          <w:rFonts w:hint="eastAsia" w:ascii="宋体" w:hAnsi="宋体" w:eastAsia="宋体" w:cs="宋体"/>
          <w:sz w:val="32"/>
          <w:szCs w:val="32"/>
          <w14:ligatures w14:val="none"/>
        </w:rPr>
      </w:pPr>
      <w:r/>
      <w:bookmarkStart w:id="242" w:name="_Toc12222"/>
      <w:r>
        <w:rPr>
          <w:rFonts w:hint="eastAsia" w:ascii="宋体" w:hAnsi="宋体" w:eastAsia="宋体" w:cs="宋体"/>
          <w:sz w:val="32"/>
          <w:szCs w:val="32"/>
          <w14:ligatures w14:val="none"/>
        </w:rPr>
        <w:t xml:space="preserve">十六、</w:t>
      </w:r>
      <w:r>
        <w:rPr>
          <w:rFonts w:hint="eastAsia" w:ascii="宋体" w:hAnsi="宋体" w:eastAsia="宋体" w:cs="宋体"/>
          <w:sz w:val="32"/>
          <w:szCs w:val="32"/>
          <w:lang w:val="en-US" w:eastAsia="zh-CN"/>
          <w14:ligatures w14:val="none"/>
        </w:rPr>
        <w:t xml:space="preserve">教研师训及售后（服务运营）方案</w:t>
      </w:r>
      <w:r>
        <w:rPr>
          <w:rFonts w:hint="eastAsia" w:ascii="宋体" w:hAnsi="宋体" w:eastAsia="宋体" w:cs="宋体"/>
          <w:sz w:val="32"/>
          <w:szCs w:val="32"/>
          <w14:ligatures w14:val="none"/>
        </w:rPr>
        <w:t xml:space="preserve">、</w:t>
      </w:r>
      <w:r>
        <w:rPr>
          <w:rFonts w:hint="eastAsia" w:ascii="宋体" w:hAnsi="宋体" w:eastAsia="宋体" w:cs="宋体"/>
          <w:sz w:val="32"/>
          <w:szCs w:val="32"/>
          <w:lang w:val="en-US" w:eastAsia="zh-CN"/>
          <w14:ligatures w14:val="none"/>
        </w:rPr>
        <w:t xml:space="preserve">实施组织方案、质保期承诺函、</w:t>
      </w:r>
      <w:r>
        <w:rPr>
          <w:rFonts w:hint="eastAsia" w:ascii="宋体" w:hAnsi="宋体" w:eastAsia="宋体" w:cs="宋体"/>
          <w:sz w:val="32"/>
          <w:szCs w:val="32"/>
          <w14:ligatures w14:val="none"/>
        </w:rPr>
        <w:t xml:space="preserve">产品安全承诺函等</w:t>
      </w:r>
      <w:bookmarkEnd w:id="242"/>
      <w:r/>
      <w:r/>
    </w:p>
    <w:p>
      <w:pPr>
        <w:jc w:val="both"/>
        <w:spacing w:before="50" w:after="50" w:line="240" w:lineRule="auto"/>
        <w:widowControl/>
        <w:rPr>
          <w:rFonts w:hint="eastAsia" w:ascii="宋体" w:hAnsi="宋体" w:eastAsia="宋体" w:cs="宋体"/>
          <w:sz w:val="24"/>
          <w14:ligatures w14:val="none"/>
        </w:rPr>
      </w:pPr>
      <w:r>
        <w:rPr>
          <w:rFonts w:hint="eastAsia" w:ascii="宋体" w:hAnsi="宋体" w:eastAsia="宋体" w:cs="宋体"/>
          <w:sz w:val="24"/>
          <w14:ligatures w14:val="none"/>
        </w:rPr>
      </w:r>
      <w:r/>
    </w:p>
    <w:p>
      <w:pPr>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t xml:space="preserve">教研师训及售后（服务运营）方案、实施组织方案、</w:t>
      </w:r>
      <w:r>
        <w:rPr>
          <w:rFonts w:hint="eastAsia" w:ascii="宋体" w:hAnsi="宋体" w:eastAsia="宋体" w:cs="宋体"/>
          <w:color w:val="000000"/>
          <w:sz w:val="24"/>
          <w:lang w:val="en-US" w:eastAsia="zh-CN"/>
          <w14:ligatures w14:val="none"/>
        </w:rPr>
        <w:t xml:space="preserve">质保期承诺函、</w:t>
      </w:r>
      <w:r>
        <w:rPr>
          <w:rFonts w:hint="eastAsia" w:ascii="宋体" w:hAnsi="宋体" w:eastAsia="宋体" w:cs="宋体"/>
          <w:color w:val="000000"/>
          <w:sz w:val="24"/>
          <w14:ligatures w14:val="none"/>
        </w:rPr>
        <w:t xml:space="preserve">产品安全承诺函（投标人根据采购文件要求编制。根式自拟）</w:t>
      </w:r>
      <w:bookmarkStart w:id="243" w:name="_bookmark35"/>
      <w:r/>
      <w:bookmarkEnd w:id="243"/>
      <w:r/>
      <w:r/>
    </w:p>
    <w:p>
      <w:pPr>
        <w:ind w:firstLine="119"/>
        <w:jc w:val="both"/>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ind w:firstLine="119"/>
        <w:jc w:val="center"/>
        <w:spacing w:after="0" w:line="360" w:lineRule="auto"/>
        <w:rPr>
          <w:rFonts w:hint="eastAsia" w:ascii="宋体" w:hAnsi="宋体" w:eastAsia="宋体" w:cs="宋体"/>
          <w:color w:val="000000"/>
          <w:sz w:val="24"/>
          <w14:ligatures w14:val="none"/>
        </w:rPr>
      </w:pPr>
      <w:r>
        <w:rPr>
          <w:rFonts w:hint="eastAsia" w:ascii="宋体" w:hAnsi="宋体" w:eastAsia="宋体" w:cs="宋体"/>
          <w:color w:val="000000"/>
          <w:sz w:val="24"/>
          <w14:ligatures w14:val="none"/>
        </w:rPr>
      </w:r>
      <w:r/>
    </w:p>
    <w:p>
      <w:pPr>
        <w:jc w:val="both"/>
        <w:spacing w:after="0" w:line="240" w:lineRule="auto"/>
        <w:rPr>
          <w:rFonts w:hint="eastAsia" w:ascii="宋体" w:hAnsi="宋体" w:eastAsia="宋体" w:cs="宋体"/>
          <w:b/>
          <w:color w:val="000000"/>
          <w:sz w:val="32"/>
          <w:szCs w:val="32"/>
          <w14:ligatures w14:val="none"/>
        </w:rPr>
      </w:pPr>
      <w:r>
        <w:rPr>
          <w:rFonts w:hint="eastAsia" w:ascii="宋体" w:hAnsi="宋体" w:eastAsia="宋体" w:cs="宋体"/>
          <w:b/>
          <w:color w:val="000000"/>
          <w:sz w:val="32"/>
          <w:szCs w:val="32"/>
          <w14:ligatures w14:val="none"/>
        </w:rPr>
      </w:r>
      <w:r/>
    </w:p>
    <w:p>
      <w:pPr>
        <w:ind w:firstLine="1760"/>
        <w:jc w:val="both"/>
        <w:spacing w:after="0" w:line="499" w:lineRule="atLeast"/>
        <w:widowControl/>
        <w:rPr>
          <w:rFonts w:hint="eastAsia" w:ascii="宋体" w:hAnsi="宋体" w:eastAsia="宋体" w:cs="宋体"/>
          <w:sz w:val="24"/>
          <w14:ligatures w14:val="none"/>
        </w:rPr>
      </w:pPr>
      <w:r/>
      <w:bookmarkStart w:id="244" w:name="_Toc9636"/>
      <w:r>
        <w:rPr>
          <w:rFonts w:hint="eastAsia" w:ascii="宋体" w:hAnsi="宋体" w:eastAsia="宋体" w:cs="宋体"/>
          <w:color w:val="000000"/>
          <w:sz w:val="32"/>
          <w:szCs w:val="32"/>
          <w14:ligatures w14:val="none"/>
        </w:rPr>
        <w:t xml:space="preserve">十七、响水县政府采购事前信用承诺书</w:t>
      </w:r>
      <w:bookmarkEnd w:id="244"/>
      <w:r/>
      <w:r/>
    </w:p>
    <w:p>
      <w:pPr>
        <w:ind w:firstLine="480"/>
        <w:spacing w:after="0" w:line="499" w:lineRule="atLeast"/>
        <w:widowControl/>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为营造我县公开、公平、公正、诚实守信的政府采购交易环境，树立诚信守法的投标人形象，本人代表本单位作出以下承诺：</w:t>
      </w:r>
      <w:r/>
    </w:p>
    <w:p>
      <w:pPr>
        <w:spacing w:after="0" w:line="499" w:lineRule="atLeast"/>
        <w:widowControl/>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spacing w:after="0" w:line="499" w:lineRule="atLeast"/>
        <w:widowControl/>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after="0" w:line="499" w:lineRule="atLeast"/>
        <w:widowControl/>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（三）严格依照国家和省、市关于政府采购的法律、法规、规章、规范性文件，参加政府采购投标活动；积极履行社会责任，促进廉政建设； </w:t>
      </w:r>
      <w:r/>
    </w:p>
    <w:p>
      <w:pPr>
        <w:spacing w:after="0" w:line="499" w:lineRule="atLeast"/>
        <w:widowControl/>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（四）严格遵守即时信息公示规定，及时维护和更新维护和更新盐城市政府采购网中与本单位相关的信息；</w:t>
      </w:r>
      <w:r/>
    </w:p>
    <w:p>
      <w:pPr>
        <w:spacing w:after="0" w:line="499" w:lineRule="atLeast"/>
        <w:widowControl/>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after="0" w:line="499" w:lineRule="atLeast"/>
        <w:widowControl/>
        <w:rPr>
          <w:rFonts w:hint="eastAsia" w:ascii="宋体" w:hAnsi="宋体" w:eastAsia="宋体" w:cs="宋体"/>
          <w:sz w:val="24"/>
          <w14:ligatures w14:val="none"/>
        </w:rPr>
      </w:pPr>
      <w:r/>
      <w:bookmarkStart w:id="245" w:name="_Toc3454"/>
      <w:r>
        <w:rPr>
          <w:rFonts w:hint="eastAsia" w:ascii="宋体" w:hAnsi="宋体" w:eastAsia="宋体" w:cs="宋体"/>
          <w:color w:val="000000"/>
          <w:sz w:val="24"/>
          <w14:ligatures w14:val="none"/>
        </w:rPr>
        <w:t xml:space="preserve">（六）自觉接受政府、行业组织、社会公众、新闻舆论的监督；</w:t>
      </w:r>
      <w:bookmarkEnd w:id="245"/>
      <w:r/>
      <w:r/>
    </w:p>
    <w:p>
      <w:pPr>
        <w:spacing w:after="0" w:line="499" w:lineRule="atLeast"/>
        <w:widowControl/>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after="0" w:line="499" w:lineRule="atLeast"/>
        <w:widowControl/>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（八）本人已认真阅读了上述承诺，并向本单位员工作了宣传教育。</w:t>
      </w:r>
      <w:r/>
    </w:p>
    <w:p>
      <w:pPr>
        <w:spacing w:after="0" w:line="499" w:lineRule="atLeast"/>
        <w:widowControl/>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                  法定代表人签名：</w:t>
      </w:r>
      <w:r/>
    </w:p>
    <w:p>
      <w:pPr>
        <w:jc w:val="center"/>
        <w:spacing w:after="0" w:line="499" w:lineRule="atLeast"/>
        <w:widowControl/>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                   单位名称（盖章）：</w:t>
      </w:r>
      <w:r/>
    </w:p>
    <w:p>
      <w:pPr>
        <w:jc w:val="center"/>
        <w:spacing w:after="0" w:line="499" w:lineRule="atLeast"/>
        <w:widowControl/>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                      年月日</w:t>
      </w:r>
      <w:r/>
    </w:p>
    <w:p>
      <w:pPr>
        <w:jc w:val="center"/>
        <w:spacing w:after="0" w:line="240" w:lineRule="auto"/>
        <w:rPr>
          <w:rFonts w:hint="eastAsia" w:ascii="宋体" w:hAnsi="宋体" w:eastAsia="宋体" w:cs="宋体"/>
          <w:sz w:val="24"/>
          <w14:ligatures w14:val="none"/>
        </w:rPr>
      </w:pPr>
      <w:r>
        <w:rPr>
          <w:rFonts w:hint="eastAsia" w:ascii="宋体" w:hAnsi="宋体" w:eastAsia="宋体" w:cs="宋体"/>
          <w:sz w:val="24"/>
          <w14:ligatures w14:val="none"/>
        </w:rPr>
      </w:r>
      <w:bookmarkEnd w:id="8"/>
      <w:bookmarkEnd w:id="59"/>
      <w:bookmarkEnd w:id="60"/>
      <w:bookmarkEnd w:id="61"/>
      <w:bookmarkEnd w:id="62"/>
      <w:bookmarkEnd w:id="63"/>
      <w:bookmarkEnd w:id="64"/>
      <w:bookmarkEnd w:id="65"/>
      <w:bookmarkEnd w:id="66"/>
      <w:bookmarkEnd w:id="67"/>
      <w:bookmarkEnd w:id="68"/>
      <w:bookmarkEnd w:id="69"/>
      <w:bookmarkEnd w:id="70"/>
      <w:bookmarkEnd w:id="182"/>
      <w:bookmarkEnd w:id="187"/>
      <w:bookmarkEnd w:id="188"/>
      <w:bookmarkEnd w:id="189"/>
      <w:bookmarkEnd w:id="190"/>
      <w:bookmarkEnd w:id="216"/>
      <w:bookmarkEnd w:id="218"/>
      <w:bookmarkEnd w:id="219"/>
      <w:bookmarkEnd w:id="220"/>
      <w:bookmarkEnd w:id="227"/>
      <w:bookmarkEnd w:id="236"/>
      <w:bookmarkEnd w:id="237"/>
      <w:bookmarkEnd w:id="238"/>
      <w:bookmarkEnd w:id="239"/>
      <w:bookmarkEnd w:id="240"/>
      <w:r/>
    </w:p>
    <w:p>
      <w:pPr>
        <w:ind w:firstLine="160"/>
        <w:jc w:val="center"/>
        <w:spacing w:after="0" w:line="240" w:lineRule="auto"/>
        <w:rPr>
          <w:rFonts w:hint="eastAsia" w:ascii="宋体" w:hAnsi="宋体" w:eastAsia="宋体" w:cs="宋体"/>
          <w:b/>
          <w:color w:val="000000"/>
          <w:sz w:val="32"/>
          <w:szCs w:val="32"/>
          <w14:ligatures w14:val="none"/>
        </w:rPr>
      </w:pPr>
      <w:r>
        <w:rPr>
          <w:rFonts w:hint="eastAsia" w:ascii="宋体" w:hAnsi="宋体" w:eastAsia="宋体" w:cs="宋体"/>
          <w:b/>
          <w:color w:val="000000"/>
          <w:sz w:val="32"/>
          <w:szCs w:val="32"/>
          <w14:ligatures w14:val="none"/>
        </w:rPr>
      </w:r>
      <w:r/>
    </w:p>
    <w:p>
      <w:pPr>
        <w:jc w:val="center"/>
        <w:rPr>
          <w:rFonts w:hint="eastAsia" w:ascii="方正公文小标宋" w:hAnsi="方正公文小标宋" w:eastAsia="方正公文小标宋" w:cs="方正公文小标宋"/>
          <w:sz w:val="36"/>
          <w:szCs w:val="44"/>
        </w:rPr>
      </w:pPr>
      <w:r/>
      <w:bookmarkStart w:id="246" w:name="_Toc24321"/>
      <w:r>
        <w:rPr>
          <w:rFonts w:hint="eastAsia" w:ascii="方正公文小标宋" w:hAnsi="方正公文小标宋" w:eastAsia="方正公文小标宋" w:cs="方正公文小标宋"/>
          <w:sz w:val="36"/>
          <w:szCs w:val="44"/>
        </w:rPr>
        <w:t xml:space="preserve">投标文件格式增加</w:t>
      </w:r>
      <w:r/>
    </w:p>
    <w:p>
      <w:pPr>
        <w:jc w:val="center"/>
        <w:rPr>
          <w:rFonts w:hint="eastAsia" w:ascii="方正公文小标宋" w:hAnsi="方正公文小标宋" w:eastAsia="方正公文小标宋" w:cs="方正公文小标宋"/>
          <w:sz w:val="36"/>
          <w:szCs w:val="44"/>
        </w:rPr>
      </w:pPr>
      <w:r>
        <w:rPr>
          <w:rFonts w:hint="eastAsia" w:ascii="方正公文小标宋" w:hAnsi="方正公文小标宋" w:eastAsia="方正公文小标宋" w:cs="方正公文小标宋"/>
          <w:sz w:val="36"/>
          <w:szCs w:val="44"/>
        </w:rPr>
        <w:t xml:space="preserve">十八、承诺函</w:t>
      </w:r>
      <w:r/>
    </w:p>
    <w:p>
      <w:pPr>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 xml:space="preserve">致</w:t>
      </w:r>
      <w:r>
        <w:rPr>
          <w:rFonts w:hint="eastAsia" w:ascii="仿宋_GB2312" w:hAnsi="仿宋_GB2312" w:eastAsia="仿宋_GB2312" w:cs="仿宋_GB2312"/>
          <w:sz w:val="32"/>
          <w:szCs w:val="40"/>
          <w:u w:val="single"/>
        </w:rPr>
        <w:t xml:space="preserve">            </w:t>
      </w:r>
      <w:r>
        <w:rPr>
          <w:rFonts w:hint="eastAsia" w:ascii="仿宋_GB2312" w:hAnsi="仿宋_GB2312" w:eastAsia="仿宋_GB2312" w:cs="仿宋_GB2312"/>
          <w:sz w:val="32"/>
          <w:szCs w:val="40"/>
        </w:rPr>
        <w:t xml:space="preserve">:</w:t>
      </w:r>
      <w:r/>
    </w:p>
    <w:p>
      <w:pPr>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 xml:space="preserve">  我公司名称（商号）为：</w:t>
      </w:r>
      <w:r>
        <w:rPr>
          <w:rFonts w:hint="eastAsia" w:ascii="仿宋_GB2312" w:hAnsi="仿宋_GB2312" w:eastAsia="仿宋_GB2312" w:cs="仿宋_GB2312"/>
          <w:sz w:val="32"/>
          <w:szCs w:val="40"/>
          <w:u w:val="single"/>
        </w:rPr>
        <w:t xml:space="preserve">            </w:t>
      </w:r>
      <w:r>
        <w:rPr>
          <w:rFonts w:hint="eastAsia" w:ascii="仿宋_GB2312" w:hAnsi="仿宋_GB2312" w:eastAsia="仿宋_GB2312" w:cs="仿宋_GB2312"/>
          <w:sz w:val="32"/>
          <w:szCs w:val="40"/>
        </w:rPr>
        <w:t xml:space="preserve">，统一信用代码：</w:t>
      </w:r>
      <w:r/>
    </w:p>
    <w:p>
      <w:pPr>
        <w:rPr>
          <w:rFonts w:hint="eastAsia" w:ascii="仿宋_GB2312" w:hAnsi="仿宋_GB2312" w:eastAsia="仿宋_GB2312" w:cs="仿宋_GB2312"/>
          <w:sz w:val="32"/>
          <w:szCs w:val="40"/>
        </w:rPr>
      </w:pPr>
      <w:r>
        <w:rPr>
          <w:rFonts w:hint="eastAsia" w:ascii="仿宋_GB2312" w:hAnsi="仿宋_GB2312" w:eastAsia="仿宋_GB2312" w:cs="仿宋_GB2312"/>
          <w:sz w:val="32"/>
          <w:szCs w:val="40"/>
          <w:u w:val="single"/>
        </w:rPr>
        <w:t xml:space="preserve">            </w:t>
      </w:r>
      <w:r>
        <w:rPr>
          <w:rFonts w:hint="eastAsia" w:ascii="仿宋_GB2312" w:hAnsi="仿宋_GB2312" w:eastAsia="仿宋_GB2312" w:cs="仿宋_GB2312"/>
          <w:sz w:val="32"/>
          <w:szCs w:val="40"/>
        </w:rPr>
        <w:t xml:space="preserve">，现参与XXX项目，项目编号：</w:t>
      </w:r>
      <w:r>
        <w:rPr>
          <w:rFonts w:hint="eastAsia" w:ascii="仿宋_GB2312" w:hAnsi="仿宋_GB2312" w:eastAsia="仿宋_GB2312" w:cs="仿宋_GB2312"/>
          <w:sz w:val="32"/>
          <w:szCs w:val="40"/>
          <w:u w:val="single"/>
        </w:rPr>
        <w:t xml:space="preserve">            ，</w:t>
      </w:r>
      <w:r>
        <w:rPr>
          <w:rFonts w:hint="eastAsia" w:ascii="仿宋_GB2312" w:hAnsi="仿宋_GB2312" w:eastAsia="仿宋_GB2312" w:cs="仿宋_GB2312"/>
          <w:sz w:val="32"/>
          <w:szCs w:val="40"/>
        </w:rPr>
        <w:t xml:space="preserve">现就重要技术参数响应情况及中标后提供资料情况承诺如下：</w:t>
      </w:r>
      <w:r/>
    </w:p>
    <w:p>
      <w:pPr>
        <w:numPr>
          <w:ilvl w:val="0"/>
          <w:numId w:val="16"/>
        </w:numPr>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 xml:space="preserve">我公司已经完整、清楚理解招标文件关于重要技术参数“投标文件中提供相关证明材料并加盖投标人公章，相关证明材料包括但不限于响应该条技术参数及功能指标、提供符合该条技术参数及功能指标的证明材料等。中标通知书发出之日起15日内须提供具有CMA标识的检测报告，不提供视为无故放弃中标资格，如给采购人造成了损失，采购人将依法追究相关责任。”的相关要求，且确认我公司投标文件技术偏离表中关于重要技术参数的响应情况与我公司拟投标产品的真实技术规格完全对应，不存在笔误和其他需要澄清的差异，是我公司意思表示真实的民事法律行为。</w:t>
      </w:r>
      <w:r/>
    </w:p>
    <w:p>
      <w:pPr>
        <w:numPr>
          <w:ilvl w:val="0"/>
          <w:numId w:val="16"/>
        </w:numPr>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 xml:space="preserve">我公司承诺如果我公司中标，将按招标文件要求对所有非负偏离投标响应的重要技术参数对应产品在中标通知书发出之日起15日内向采购人提供招标文件规定的佐证资料。</w:t>
      </w:r>
      <w:r/>
    </w:p>
    <w:p>
      <w:pPr>
        <w:numPr>
          <w:ilvl w:val="0"/>
          <w:numId w:val="16"/>
        </w:numPr>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 xml:space="preserve">我公司已知悉投标文件作为招标文件（要约邀请）的内容编制，如存在虚假材料（投标响应虚假或不能按时提供佐证资料），将会致投标文件要约内容不满足招标文件（要约邀请），影响政府采购项目中标结果，属于以虚假材料谋求中标的行为，依照《政府采购法》第七十七条第一款规定，供应商提供虚假材料谋取中标、成交的，将被处以采购金额千分之五以上千分之十以下的罚款，列入不良行为记录名单，在一至三年内禁止参加政府采购活动等行政处罚。</w:t>
      </w:r>
      <w:r/>
    </w:p>
    <w:p>
      <w:pPr>
        <w:numPr>
          <w:ilvl w:val="0"/>
          <w:numId w:val="16"/>
        </w:numPr>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 xml:space="preserve">我公司承诺，如因虚假响应、不能按时提供佐证资料等虚假材料谋求中标的行为，除放弃中标资格外，如给采购人造成了损失，还需对采购人进行赔偿。</w:t>
      </w:r>
      <w:r/>
    </w:p>
    <w:p>
      <w:pPr>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r>
      <w:r/>
    </w:p>
    <w:p>
      <w:pPr>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r>
      <w:r/>
    </w:p>
    <w:p>
      <w:pPr>
        <w:jc w:val="right"/>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 xml:space="preserve">承诺人：（公司名称，加盖公章）</w:t>
      </w:r>
      <w:r/>
    </w:p>
    <w:p>
      <w:pPr>
        <w:jc w:val="right"/>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 xml:space="preserve">签字：（法人或委托人签字或盖签名章）</w:t>
      </w:r>
      <w:r/>
    </w:p>
    <w:p>
      <w:pPr>
        <w:jc w:val="right"/>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 xml:space="preserve">2025年  月  日</w:t>
      </w:r>
      <w:r/>
    </w:p>
    <w:p>
      <w:pPr>
        <w:rPr>
          <w:rFonts w:hint="eastAsia" w:ascii="宋体" w:hAnsi="宋体" w:eastAsia="宋体" w:cs="宋体"/>
          <w:b/>
          <w:color w:val="000000"/>
          <w:sz w:val="32"/>
          <w:szCs w:val="32"/>
          <w14:ligatures w14:val="none"/>
        </w:rPr>
      </w:pPr>
      <w:r>
        <w:rPr>
          <w:rFonts w:hint="eastAsia" w:ascii="宋体" w:hAnsi="宋体" w:eastAsia="宋体" w:cs="宋体"/>
          <w:b/>
          <w:color w:val="000000"/>
          <w:sz w:val="32"/>
          <w:szCs w:val="32"/>
          <w14:ligatures w14:val="none"/>
        </w:rPr>
        <w:br w:type="page" w:clear="all"/>
      </w:r>
      <w:r/>
    </w:p>
    <w:p>
      <w:pPr>
        <w:ind w:firstLine="160"/>
        <w:jc w:val="center"/>
        <w:spacing w:after="0" w:line="360" w:lineRule="auto"/>
        <w:rPr>
          <w:rFonts w:hint="eastAsia" w:ascii="宋体" w:hAnsi="宋体" w:eastAsia="宋体" w:cs="宋体"/>
          <w:b/>
          <w:color w:val="000000"/>
          <w:sz w:val="32"/>
          <w:szCs w:val="32"/>
          <w14:ligatures w14:val="none"/>
        </w:rPr>
      </w:pPr>
      <w:r>
        <w:rPr>
          <w:rFonts w:hint="eastAsia" w:ascii="宋体" w:hAnsi="宋体" w:eastAsia="宋体" w:cs="宋体"/>
          <w:b/>
          <w:color w:val="000000"/>
          <w:sz w:val="32"/>
          <w:szCs w:val="32"/>
          <w14:ligatures w14:val="none"/>
        </w:rPr>
        <w:t xml:space="preserve">质疑函范本</w:t>
      </w:r>
      <w:bookmarkEnd w:id="246"/>
      <w:r/>
      <w:r/>
    </w:p>
    <w:p>
      <w:pPr>
        <w:jc w:val="both"/>
        <w:spacing w:after="0" w:line="360" w:lineRule="auto"/>
        <w:rPr>
          <w:rFonts w:hint="eastAsia" w:ascii="宋体" w:hAnsi="宋体" w:eastAsia="宋体" w:cs="宋体"/>
          <w:sz w:val="24"/>
          <w14:ligatures w14:val="none"/>
        </w:rPr>
      </w:pPr>
      <w:r/>
      <w:bookmarkStart w:id="247" w:name="_Toc27318"/>
      <w:r>
        <w:rPr>
          <w:rFonts w:hint="eastAsia" w:ascii="宋体" w:hAnsi="宋体" w:eastAsia="宋体" w:cs="宋体"/>
          <w:color w:val="000000"/>
          <w:sz w:val="24"/>
          <w14:ligatures w14:val="none"/>
        </w:rPr>
        <w:t xml:space="preserve">一、质疑供应商基本信息</w:t>
      </w:r>
      <w:bookmarkEnd w:id="247"/>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质疑供应商：</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color w:val="000000"/>
          <w:sz w:val="24"/>
          <w:u w:val="single"/>
          <w14:ligatures w14:val="none"/>
        </w:rPr>
      </w:pPr>
      <w:r>
        <w:rPr>
          <w:rFonts w:hint="eastAsia" w:ascii="宋体" w:hAnsi="宋体" w:eastAsia="宋体" w:cs="宋体"/>
          <w:color w:val="000000"/>
          <w:sz w:val="24"/>
          <w14:ligatures w14:val="none"/>
        </w:rPr>
        <w:t xml:space="preserve">地址：</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邮编：</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color w:val="000000"/>
          <w:sz w:val="24"/>
          <w:u w:val="single"/>
          <w14:ligatures w14:val="none"/>
        </w:rPr>
      </w:pPr>
      <w:r>
        <w:rPr>
          <w:rFonts w:hint="eastAsia" w:ascii="宋体" w:hAnsi="宋体" w:eastAsia="宋体" w:cs="宋体"/>
          <w:color w:val="000000"/>
          <w:sz w:val="24"/>
          <w14:ligatures w14:val="none"/>
        </w:rPr>
        <w:t xml:space="preserve">联系人：</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联系电话：</w:t>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授权代表：</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联系电话：</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color w:val="000000"/>
          <w:sz w:val="24"/>
          <w:u w:val="single"/>
          <w14:ligatures w14:val="none"/>
        </w:rPr>
      </w:pPr>
      <w:r>
        <w:rPr>
          <w:rFonts w:hint="eastAsia" w:ascii="宋体" w:hAnsi="宋体" w:eastAsia="宋体" w:cs="宋体"/>
          <w:color w:val="000000"/>
          <w:sz w:val="24"/>
          <w14:ligatures w14:val="none"/>
        </w:rPr>
        <w:t xml:space="preserve">地址： </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邮编：</w:t>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sz w:val="24"/>
          <w14:ligatures w14:val="none"/>
        </w:rPr>
      </w:pPr>
      <w:r/>
      <w:bookmarkStart w:id="248" w:name="_Toc13450"/>
      <w:r>
        <w:rPr>
          <w:rFonts w:hint="eastAsia" w:ascii="宋体" w:hAnsi="宋体" w:eastAsia="宋体" w:cs="宋体"/>
          <w:color w:val="000000"/>
          <w:sz w:val="24"/>
          <w14:ligatures w14:val="none"/>
        </w:rPr>
        <w:t xml:space="preserve">二、质疑项目基本情况</w:t>
      </w:r>
      <w:bookmarkEnd w:id="248"/>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质疑项目的名称：</w:t>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color w:val="000000"/>
          <w:sz w:val="24"/>
          <w:u w:val="single"/>
          <w14:ligatures w14:val="none"/>
        </w:rPr>
      </w:pPr>
      <w:r>
        <w:rPr>
          <w:rFonts w:hint="eastAsia" w:ascii="宋体" w:hAnsi="宋体" w:eastAsia="宋体" w:cs="宋体"/>
          <w:color w:val="000000"/>
          <w:sz w:val="24"/>
          <w14:ligatures w14:val="none"/>
        </w:rPr>
        <w:t xml:space="preserve">质疑项目的编号：</w:t>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包号：</w:t>
      </w:r>
      <w:r>
        <w:rPr>
          <w:rFonts w:hint="eastAsia" w:ascii="宋体" w:hAnsi="宋体" w:eastAsia="宋体" w:cs="宋体"/>
          <w:color w:val="000000"/>
          <w:sz w:val="24"/>
          <w:u w:val="single"/>
          <w14:ligatures w14:val="none"/>
        </w:rPr>
        <w:t xml:space="preserve">                       </w:t>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ab/>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采购人名称：</w:t>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采购文件获取日期：</w:t>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sz w:val="24"/>
          <w14:ligatures w14:val="none"/>
        </w:rPr>
      </w:pPr>
      <w:r/>
      <w:bookmarkStart w:id="249" w:name="_Toc1834"/>
      <w:r>
        <w:rPr>
          <w:rFonts w:hint="eastAsia" w:ascii="宋体" w:hAnsi="宋体" w:eastAsia="宋体" w:cs="宋体"/>
          <w:color w:val="000000"/>
          <w:sz w:val="24"/>
          <w14:ligatures w14:val="none"/>
        </w:rPr>
        <w:t xml:space="preserve">三、质疑事项具体内容</w:t>
      </w:r>
      <w:bookmarkEnd w:id="249"/>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质疑事项1：</w:t>
      </w:r>
      <w:r>
        <w:rPr>
          <w:rFonts w:hint="eastAsia" w:ascii="宋体" w:hAnsi="宋体" w:eastAsia="宋体" w:cs="宋体"/>
          <w:color w:val="000000"/>
          <w:sz w:val="24"/>
          <w:u w:val="single"/>
          <w14:ligatures w14:val="none"/>
        </w:rPr>
        <w:t xml:space="preserve">                             </w:t>
      </w:r>
      <w:r/>
    </w:p>
    <w:p>
      <w:pPr>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事实依据：</w:t>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法律依据：</w:t>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质疑事项2</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w:t>
      </w:r>
      <w:r/>
    </w:p>
    <w:p>
      <w:pPr>
        <w:jc w:val="both"/>
        <w:spacing w:after="0" w:line="360" w:lineRule="auto"/>
        <w:rPr>
          <w:rFonts w:hint="eastAsia" w:ascii="宋体" w:hAnsi="宋体" w:eastAsia="宋体" w:cs="宋体"/>
          <w:sz w:val="24"/>
          <w14:ligatures w14:val="none"/>
        </w:rPr>
      </w:pPr>
      <w:r/>
      <w:bookmarkStart w:id="250" w:name="_Toc23075"/>
      <w:r>
        <w:rPr>
          <w:rFonts w:hint="eastAsia" w:ascii="宋体" w:hAnsi="宋体" w:eastAsia="宋体" w:cs="宋体"/>
          <w:color w:val="000000"/>
          <w:sz w:val="24"/>
          <w14:ligatures w14:val="none"/>
        </w:rPr>
        <w:t xml:space="preserve">四、与质疑事项相关的质疑请求</w:t>
      </w:r>
      <w:bookmarkEnd w:id="250"/>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请求：</w:t>
      </w:r>
      <w:r>
        <w:rPr>
          <w:rFonts w:hint="eastAsia" w:ascii="宋体" w:hAnsi="宋体" w:eastAsia="宋体" w:cs="宋体"/>
          <w:color w:val="000000"/>
          <w:sz w:val="24"/>
          <w:u w:val="single"/>
          <w14:ligatures w14:val="none"/>
        </w:rPr>
        <w:t xml:space="preserve">                                                          </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签字(签章)：                 公章：               日期：    </w:t>
      </w:r>
      <w:r/>
    </w:p>
    <w:p>
      <w:pPr>
        <w:jc w:val="both"/>
        <w:spacing w:after="0" w:line="360" w:lineRule="auto"/>
        <w:rPr>
          <w:rFonts w:hint="eastAsia" w:ascii="宋体" w:hAnsi="宋体" w:eastAsia="宋体" w:cs="宋体"/>
          <w:sz w:val="24"/>
          <w14:ligatures w14:val="none"/>
        </w:rPr>
      </w:pPr>
      <w:r>
        <w:rPr>
          <w:rFonts w:hint="eastAsia" w:ascii="宋体" w:hAnsi="宋体" w:eastAsia="宋体" w:cs="宋体"/>
          <w:b/>
          <w:color w:val="000000"/>
          <w:sz w:val="24"/>
          <w14:ligatures w14:val="none"/>
        </w:rPr>
        <w:t xml:space="preserve">质疑函制作说明：</w:t>
      </w:r>
      <w:r/>
    </w:p>
    <w:p>
      <w:pPr>
        <w:ind w:firstLine="120"/>
        <w:spacing w:after="0" w:line="360" w:lineRule="auto"/>
        <w:widowControl/>
        <w:rPr>
          <w:rFonts w:hint="eastAsia" w:ascii="宋体" w:hAnsi="宋体" w:eastAsia="宋体" w:cs="宋体"/>
          <w:sz w:val="24"/>
          <w14:ligatures w14:val="none"/>
        </w:rPr>
      </w:pPr>
      <w:r/>
      <w:bookmarkStart w:id="251" w:name="_Toc12060"/>
      <w:r>
        <w:rPr>
          <w:rFonts w:hint="eastAsia" w:ascii="宋体" w:hAnsi="宋体" w:eastAsia="宋体" w:cs="宋体"/>
          <w:color w:val="000000"/>
          <w:sz w:val="24"/>
          <w14:ligatures w14:val="none"/>
        </w:rPr>
        <w:t xml:space="preserve">1.供应商提出质疑时，应提交质疑函和必要的证明材料。</w:t>
      </w:r>
      <w:bookmarkEnd w:id="251"/>
      <w:r/>
      <w:r/>
    </w:p>
    <w:p>
      <w:pPr>
        <w:ind w:firstLine="120"/>
        <w:spacing w:after="0" w:line="360" w:lineRule="auto"/>
        <w:widowControl/>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120"/>
        <w:spacing w:after="0" w:line="360" w:lineRule="auto"/>
        <w:widowControl/>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3.质疑供应商若对项目的某一分包进行质疑，质疑函中应列明具体分包号。</w:t>
      </w:r>
      <w:r/>
    </w:p>
    <w:p>
      <w:pPr>
        <w:ind w:firstLine="120"/>
        <w:spacing w:after="0" w:line="360" w:lineRule="auto"/>
        <w:widowControl/>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4.质疑函的质疑事项应具体、明确，并有必要的事实依据和法律依据。</w:t>
      </w:r>
      <w:r/>
    </w:p>
    <w:p>
      <w:pPr>
        <w:ind w:firstLine="120"/>
        <w:spacing w:after="0" w:line="360" w:lineRule="auto"/>
        <w:widowControl/>
        <w:rPr>
          <w:rFonts w:hint="eastAsia" w:ascii="宋体" w:hAnsi="宋体" w:eastAsia="宋体" w:cs="宋体"/>
          <w:sz w:val="24"/>
          <w14:ligatures w14:val="none"/>
        </w:rPr>
      </w:pPr>
      <w:r/>
      <w:bookmarkStart w:id="252" w:name="_Toc31537"/>
      <w:r>
        <w:rPr>
          <w:rFonts w:hint="eastAsia" w:ascii="宋体" w:hAnsi="宋体" w:eastAsia="宋体" w:cs="宋体"/>
          <w:color w:val="000000"/>
          <w:sz w:val="24"/>
          <w14:ligatures w14:val="none"/>
        </w:rPr>
        <w:t xml:space="preserve">5.质疑函的质疑请求应与质疑事项相关。</w:t>
      </w:r>
      <w:bookmarkEnd w:id="252"/>
      <w:r/>
      <w:r/>
    </w:p>
    <w:p>
      <w:pPr>
        <w:ind w:firstLine="120"/>
        <w:spacing w:after="0" w:line="360" w:lineRule="auto"/>
        <w:widowControl/>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6.质疑供应商为自然人的，质疑函应由本人签字；质疑供应商为法人或者其他组织的，质疑函应由法定代表人、主要负责人，或者其授权代表签字或者盖章，并加盖公章。</w:t>
      </w:r>
      <w:r/>
    </w:p>
    <w:p>
      <w:pPr>
        <w:spacing w:after="0" w:line="360" w:lineRule="auto"/>
        <w:rPr>
          <w:rFonts w:hint="eastAsia" w:ascii="宋体" w:hAnsi="宋体" w:eastAsia="宋体" w:cs="宋体"/>
          <w:sz w:val="24"/>
          <w14:ligatures w14:val="none"/>
        </w:rPr>
      </w:pPr>
      <w:r>
        <w:rPr>
          <w:rFonts w:hint="eastAsia" w:ascii="宋体" w:hAnsi="宋体" w:eastAsia="宋体" w:cs="宋体"/>
          <w:sz w:val="24"/>
          <w14:ligatures w14:val="none"/>
        </w:rPr>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mbria Math">
    <w:panose1 w:val="02040503050406030204"/>
  </w:font>
  <w:font w:name="Symbol">
    <w:panose1 w:val="05050102010706020507"/>
  </w:font>
  <w:font w:name="楷体_GB2312">
    <w:panose1 w:val="02010609060101010101"/>
  </w:font>
  <w:font w:name="黑体">
    <w:panose1 w:val="02010609060101010101"/>
  </w:font>
  <w:font w:name="仿宋_GB2312">
    <w:panose1 w:val="02010609060101010101"/>
  </w:font>
  <w:font w:name="方正公文小标宋">
    <w:panose1 w:val="020B0503020202020204"/>
  </w:font>
  <w:font w:name="Wingdings">
    <w:panose1 w:val="05000000000000000000"/>
  </w:font>
  <w:font w:name="华文楷体">
    <w:panose1 w:val="02010600040101010101"/>
  </w:font>
  <w:font w:name="仿宋">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
  </w:p>
  <w:p>
    <w:pPr>
      <w:pStyle w:val="8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txbxContent>
              </v:textbox>
            </v:shape>
          </w:pict>
        </mc:Fallback>
      </mc:AlternateContent>
    </w:r>
    <w:r/>
  </w:p>
  <w:p>
    <w:pPr>
      <w:pStyle w:val="8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jc w:val="center"/>
                          </w:pPr>
                          <w:r>
                            <w:fldChar w:fldCharType="begin"/>
                          </w:r>
                          <w:r>
                            <w:instrText xml:space="preserve"> PAGE   \* MERGEFORMAT </w:instrText>
                          </w:r>
                          <w:r>
                            <w:fldChar w:fldCharType="separate"/>
                          </w:r>
                          <w:r>
                            <w:rPr>
                              <w:lang w:val="zh-CN"/>
                            </w:rPr>
                            <w:t xml:space="preserve">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jc w:val="center"/>
                    </w:pPr>
                    <w:r>
                      <w:fldChar w:fldCharType="begin"/>
                    </w:r>
                    <w:r>
                      <w:instrText xml:space="preserve"> PAGE   \* MERGEFORMAT </w:instrText>
                    </w:r>
                    <w:r>
                      <w:fldChar w:fldCharType="separate"/>
                    </w:r>
                    <w:r>
                      <w:rPr>
                        <w:lang w:val="zh-CN"/>
                      </w:rPr>
                      <w:t xml:space="preserve">4</w:t>
                    </w:r>
                    <w:r>
                      <w:rPr>
                        <w:lang w:val="zh-CN"/>
                      </w:rPr>
                      <w:fldChar w:fldCharType="end"/>
                    </w:r>
                    <w:r/>
                  </w:p>
                </w:txbxContent>
              </v:textbox>
            </v:shape>
          </w:pict>
        </mc:Fallback>
      </mc:AlternateContent>
    </w:r>
    <w:r/>
  </w:p>
  <w:p>
    <w:pPr>
      <w:pStyle w:val="7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nothing"/>
      <w:lvlText w:val="（%1）"/>
      <w:lvlJc w:val="left"/>
      <w:pPr>
        <w:ind w:left="2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tab"/>
      <w:lvlText w:val="（%1）"/>
      <w:lvlJc w:val="left"/>
      <w:pPr>
        <w:ind w:left="960" w:hanging="720"/>
      </w:pPr>
      <w:rPr>
        <w:rFonts w:hint="default"/>
        <w:u w:val="none"/>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8"/>
  </w:num>
  <w:num w:numId="4">
    <w:abstractNumId w:val="12"/>
  </w:num>
  <w:num w:numId="5">
    <w:abstractNumId w:val="6"/>
    <w:lvlOverride w:ilvl="0">
      <w:startOverride w:val="2"/>
    </w:lvlOverride>
  </w:num>
  <w:num w:numId="6">
    <w:abstractNumId w:val="5"/>
    <w:lvlOverride w:ilvl="0">
      <w:startOverride w:val="6"/>
    </w:lvlOverride>
  </w:num>
  <w:num w:numId="7">
    <w:abstractNumId w:val="2"/>
    <w:lvlOverride w:ilvl="0">
      <w:startOverride w:val="16"/>
    </w:lvlOverride>
  </w:num>
  <w:num w:numId="8">
    <w:abstractNumId w:val="7"/>
    <w:lvlOverride w:ilvl="0">
      <w:startOverride w:val="23"/>
    </w:lvlOverride>
  </w:num>
  <w:num w:numId="9">
    <w:abstractNumId w:val="3"/>
  </w:num>
  <w:num w:numId="10">
    <w:abstractNumId w:val="11"/>
  </w:num>
  <w:num w:numId="11">
    <w:abstractNumId w:val="10"/>
  </w:num>
  <w:num w:numId="12">
    <w:abstractNumId w:val="9"/>
  </w:num>
  <w:num w:numId="13">
    <w:abstractNumId w:val="4"/>
  </w:num>
  <w:num w:numId="14">
    <w:abstractNumId w:val="14"/>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9"/>
    <w:link w:val="780"/>
    <w:uiPriority w:val="9"/>
    <w:rPr>
      <w:rFonts w:ascii="Arial" w:hAnsi="Arial" w:eastAsia="Arial" w:cs="Arial"/>
      <w:sz w:val="40"/>
      <w:szCs w:val="40"/>
    </w:rPr>
  </w:style>
  <w:style w:type="character" w:styleId="15">
    <w:name w:val="Heading 2 Char"/>
    <w:basedOn w:val="789"/>
    <w:link w:val="781"/>
    <w:uiPriority w:val="9"/>
    <w:rPr>
      <w:rFonts w:ascii="Arial" w:hAnsi="Arial" w:eastAsia="Arial" w:cs="Arial"/>
      <w:sz w:val="34"/>
    </w:rPr>
  </w:style>
  <w:style w:type="character" w:styleId="17">
    <w:name w:val="Heading 3 Char"/>
    <w:basedOn w:val="789"/>
    <w:link w:val="782"/>
    <w:uiPriority w:val="9"/>
    <w:rPr>
      <w:rFonts w:ascii="Arial" w:hAnsi="Arial" w:eastAsia="Arial" w:cs="Arial"/>
      <w:sz w:val="30"/>
      <w:szCs w:val="30"/>
    </w:rPr>
  </w:style>
  <w:style w:type="character" w:styleId="19">
    <w:name w:val="Heading 4 Char"/>
    <w:basedOn w:val="789"/>
    <w:link w:val="783"/>
    <w:uiPriority w:val="9"/>
    <w:rPr>
      <w:rFonts w:ascii="Arial" w:hAnsi="Arial" w:eastAsia="Arial" w:cs="Arial"/>
      <w:b/>
      <w:bCs/>
      <w:sz w:val="26"/>
      <w:szCs w:val="26"/>
    </w:rPr>
  </w:style>
  <w:style w:type="character" w:styleId="21">
    <w:name w:val="Heading 5 Char"/>
    <w:basedOn w:val="789"/>
    <w:link w:val="784"/>
    <w:uiPriority w:val="9"/>
    <w:rPr>
      <w:rFonts w:ascii="Arial" w:hAnsi="Arial" w:eastAsia="Arial" w:cs="Arial"/>
      <w:b/>
      <w:bCs/>
      <w:sz w:val="24"/>
      <w:szCs w:val="24"/>
    </w:rPr>
  </w:style>
  <w:style w:type="character" w:styleId="23">
    <w:name w:val="Heading 6 Char"/>
    <w:basedOn w:val="789"/>
    <w:link w:val="785"/>
    <w:uiPriority w:val="9"/>
    <w:rPr>
      <w:rFonts w:ascii="Arial" w:hAnsi="Arial" w:eastAsia="Arial" w:cs="Arial"/>
      <w:b/>
      <w:bCs/>
      <w:sz w:val="22"/>
      <w:szCs w:val="22"/>
    </w:rPr>
  </w:style>
  <w:style w:type="character" w:styleId="25">
    <w:name w:val="Heading 7 Char"/>
    <w:basedOn w:val="789"/>
    <w:link w:val="786"/>
    <w:uiPriority w:val="9"/>
    <w:rPr>
      <w:rFonts w:ascii="Arial" w:hAnsi="Arial" w:eastAsia="Arial" w:cs="Arial"/>
      <w:b/>
      <w:bCs/>
      <w:i/>
      <w:iCs/>
      <w:sz w:val="22"/>
      <w:szCs w:val="22"/>
    </w:rPr>
  </w:style>
  <w:style w:type="character" w:styleId="27">
    <w:name w:val="Heading 8 Char"/>
    <w:basedOn w:val="789"/>
    <w:link w:val="787"/>
    <w:uiPriority w:val="9"/>
    <w:rPr>
      <w:rFonts w:ascii="Arial" w:hAnsi="Arial" w:eastAsia="Arial" w:cs="Arial"/>
      <w:i/>
      <w:iCs/>
      <w:sz w:val="22"/>
      <w:szCs w:val="22"/>
    </w:rPr>
  </w:style>
  <w:style w:type="character" w:styleId="29">
    <w:name w:val="Heading 9 Char"/>
    <w:basedOn w:val="789"/>
    <w:link w:val="78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89"/>
    <w:link w:val="801"/>
    <w:uiPriority w:val="10"/>
    <w:rPr>
      <w:sz w:val="48"/>
      <w:szCs w:val="48"/>
    </w:rPr>
  </w:style>
  <w:style w:type="character" w:styleId="36">
    <w:name w:val="Subtitle Char"/>
    <w:basedOn w:val="789"/>
    <w:link w:val="798"/>
    <w:uiPriority w:val="11"/>
    <w:rPr>
      <w:sz w:val="24"/>
      <w:szCs w:val="24"/>
    </w:rPr>
  </w:style>
  <w:style w:type="character" w:styleId="38">
    <w:name w:val="Quote Char"/>
    <w:link w:val="821"/>
    <w:uiPriority w:val="29"/>
    <w:rPr>
      <w:i/>
    </w:rPr>
  </w:style>
  <w:style w:type="character" w:styleId="40">
    <w:name w:val="Intense Quote Char"/>
    <w:link w:val="825"/>
    <w:uiPriority w:val="30"/>
    <w:rPr>
      <w:i/>
    </w:rPr>
  </w:style>
  <w:style w:type="character" w:styleId="42">
    <w:name w:val="Header Char"/>
    <w:basedOn w:val="789"/>
    <w:link w:val="797"/>
    <w:uiPriority w:val="99"/>
  </w:style>
  <w:style w:type="character" w:styleId="44">
    <w:name w:val="Footer Char"/>
    <w:basedOn w:val="789"/>
    <w:link w:val="796"/>
    <w:uiPriority w:val="99"/>
  </w:style>
  <w:style w:type="paragraph" w:styleId="45">
    <w:name w:val="Caption"/>
    <w:basedOn w:val="779"/>
    <w:next w:val="779"/>
    <w:uiPriority w:val="35"/>
    <w:semiHidden/>
    <w:unhideWhenUsed/>
    <w:qFormat/>
    <w:pPr>
      <w:spacing w:line="276" w:lineRule="auto"/>
    </w:pPr>
    <w:rPr>
      <w:b/>
      <w:bCs/>
      <w:color w:val="4f81bd" w:themeColor="accent1"/>
      <w:sz w:val="18"/>
      <w:szCs w:val="18"/>
    </w:rPr>
  </w:style>
  <w:style w:type="character" w:styleId="46">
    <w:name w:val="Caption Char"/>
    <w:basedOn w:val="45"/>
    <w:link w:val="796"/>
    <w:uiPriority w:val="99"/>
  </w:style>
  <w:style w:type="table" w:styleId="48">
    <w:name w:val="Table Grid Light"/>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84">
    <w:name w:val="Grid Table 5 Dark - Accent 2"/>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85">
    <w:name w:val="Grid Table 5 Dark - Accent 3"/>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86">
    <w:name w:val="Grid Table 5 Dark- Accent 4"/>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87">
    <w:name w:val="Grid Table 5 Dark - Accent 5"/>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88">
    <w:name w:val="Grid Table 5 Dark - Accent 6"/>
    <w:basedOn w:val="7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89">
    <w:name w:val="Grid Table 6 Colorful"/>
    <w:basedOn w:val="7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6">
    <w:name w:val="Grid Table 7 Colorful"/>
    <w:basedOn w:val="7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ca4"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e3f14"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c1955"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11a"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0"/>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0"/>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0"/>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0"/>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0"/>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0"/>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19">
    <w:name w:val="List Table 3 - Accent 2"/>
    <w:basedOn w:val="7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120">
    <w:name w:val="List Table 3 - Accent 3"/>
    <w:basedOn w:val="7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121">
    <w:name w:val="List Table 3 - Accent 4"/>
    <w:basedOn w:val="7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122">
    <w:name w:val="List Table 3 - Accent 5"/>
    <w:basedOn w:val="7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123">
    <w:name w:val="List Table 3 - Accent 6"/>
    <w:basedOn w:val="7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124">
    <w:name w:val="List Table 4"/>
    <w:basedOn w:val="7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26">
    <w:name w:val="List Table 4 - Accent 2"/>
    <w:basedOn w:val="7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127">
    <w:name w:val="List Table 4 - Accent 3"/>
    <w:basedOn w:val="7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128">
    <w:name w:val="List Table 4 - Accent 4"/>
    <w:basedOn w:val="7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129">
    <w:name w:val="List Table 4 - Accent 5"/>
    <w:basedOn w:val="7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130">
    <w:name w:val="List Table 4 - Accent 6"/>
    <w:basedOn w:val="7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131">
    <w:name w:val="List Table 5 Dark"/>
    <w:basedOn w:val="7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140">
    <w:name w:val="List Table 6 Colorful - Accent 2"/>
    <w:basedOn w:val="7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141">
    <w:name w:val="List Table 6 Colorful - Accent 3"/>
    <w:basedOn w:val="7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142">
    <w:name w:val="List Table 6 Colorful - Accent 4"/>
    <w:basedOn w:val="7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143">
    <w:name w:val="List Table 6 Colorful - Accent 5"/>
    <w:basedOn w:val="7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144">
    <w:name w:val="List Table 6 Colorful - Accent 6"/>
    <w:basedOn w:val="7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145">
    <w:name w:val="List Table 7 Colorful"/>
    <w:basedOn w:val="7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94b"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0c394b" w:themeColor="accent1" w:themeShade="95"/>
        <w:sz w:val="22"/>
      </w:rPr>
    </w:tblStylePr>
  </w:style>
  <w:style w:type="table" w:styleId="147">
    <w:name w:val="List Table 7 Colorful - Accent 2"/>
    <w:basedOn w:val="7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34f16" w:themeColor="accent2" w:themeTint="97" w:themeShade="95"/>
        <w:sz w:val="22"/>
      </w:rPr>
    </w:tblStylePr>
  </w:style>
  <w:style w:type="table" w:styleId="148">
    <w:name w:val="List Table 7 Colorful - Accent 3"/>
    <w:basedOn w:val="7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1f842b"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1f842b" w:themeColor="accent3" w:themeTint="98" w:themeShade="95"/>
        <w:sz w:val="22"/>
      </w:rPr>
    </w:tblStylePr>
  </w:style>
  <w:style w:type="table" w:styleId="149">
    <w:name w:val="List Table 7 Colorful - Accent 4"/>
    <w:basedOn w:val="7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0d8ab8" w:themeColor="accent4" w:themeTint="9A" w:themeShade="95"/>
        <w:sz w:val="22"/>
      </w:rPr>
    </w:tblStylePr>
  </w:style>
  <w:style w:type="table" w:styleId="150">
    <w:name w:val="List Table 7 Colorful - Accent 5"/>
    <w:basedOn w:val="7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32888"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932888" w:themeColor="accent5" w:themeTint="9A" w:themeShade="95"/>
        <w:sz w:val="22"/>
      </w:rPr>
    </w:tblStylePr>
  </w:style>
  <w:style w:type="table" w:styleId="151">
    <w:name w:val="List Table 7 Colorful - Accent 6"/>
    <w:basedOn w:val="7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b952a"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4b952a" w:themeColor="accent6" w:themeTint="98" w:themeShade="95"/>
        <w:sz w:val="22"/>
      </w:rPr>
    </w:tblStylePr>
  </w:style>
  <w:style w:type="table" w:styleId="152">
    <w:name w:val="Lined - Accent"/>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54">
    <w:name w:val="Lined - Accent 2"/>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55">
    <w:name w:val="Lined - Accent 3"/>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56">
    <w:name w:val="Lined - Accent 4"/>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57">
    <w:name w:val="Lined - Accent 5"/>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58">
    <w:name w:val="Lined - Accent 6"/>
    <w:basedOn w:val="7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59">
    <w:name w:val="Bordered &amp; Lined - Accent"/>
    <w:basedOn w:val="7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61">
    <w:name w:val="Bordered &amp; Lined - Accent 2"/>
    <w:basedOn w:val="7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62">
    <w:name w:val="Bordered &amp; Lined - Accent 3"/>
    <w:basedOn w:val="7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63">
    <w:name w:val="Bordered &amp; Lined - Accent 4"/>
    <w:basedOn w:val="7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64">
    <w:name w:val="Bordered &amp; Lined - Accent 5"/>
    <w:basedOn w:val="7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65">
    <w:name w:val="Bordered &amp; Lined - Accent 6"/>
    <w:basedOn w:val="7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66">
    <w:name w:val="Bordered"/>
    <w:basedOn w:val="7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89"/>
    <w:uiPriority w:val="99"/>
    <w:unhideWhenUsed/>
    <w:rPr>
      <w:vertAlign w:val="superscript"/>
    </w:rPr>
  </w:style>
  <w:style w:type="paragraph" w:styleId="177">
    <w:name w:val="endnote text"/>
    <w:basedOn w:val="7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9"/>
    <w:uiPriority w:val="99"/>
    <w:semiHidden/>
    <w:unhideWhenUsed/>
    <w:rPr>
      <w:vertAlign w:val="superscript"/>
    </w:rPr>
  </w:style>
  <w:style w:type="paragraph" w:styleId="180">
    <w:name w:val="toc 1"/>
    <w:basedOn w:val="779"/>
    <w:next w:val="779"/>
    <w:uiPriority w:val="39"/>
    <w:unhideWhenUsed/>
    <w:pPr>
      <w:ind w:left="0" w:right="0" w:firstLine="0"/>
      <w:spacing w:after="57"/>
    </w:pPr>
  </w:style>
  <w:style w:type="paragraph" w:styleId="181">
    <w:name w:val="toc 2"/>
    <w:basedOn w:val="779"/>
    <w:next w:val="779"/>
    <w:uiPriority w:val="39"/>
    <w:unhideWhenUsed/>
    <w:pPr>
      <w:ind w:left="283" w:right="0" w:firstLine="0"/>
      <w:spacing w:after="57"/>
    </w:pPr>
  </w:style>
  <w:style w:type="paragraph" w:styleId="182">
    <w:name w:val="toc 3"/>
    <w:basedOn w:val="779"/>
    <w:next w:val="779"/>
    <w:uiPriority w:val="39"/>
    <w:unhideWhenUsed/>
    <w:pPr>
      <w:ind w:left="567" w:right="0" w:firstLine="0"/>
      <w:spacing w:after="57"/>
    </w:pPr>
  </w:style>
  <w:style w:type="paragraph" w:styleId="183">
    <w:name w:val="toc 4"/>
    <w:basedOn w:val="779"/>
    <w:next w:val="779"/>
    <w:uiPriority w:val="39"/>
    <w:unhideWhenUsed/>
    <w:pPr>
      <w:ind w:left="850" w:right="0" w:firstLine="0"/>
      <w:spacing w:after="57"/>
    </w:pPr>
  </w:style>
  <w:style w:type="paragraph" w:styleId="184">
    <w:name w:val="toc 5"/>
    <w:basedOn w:val="779"/>
    <w:next w:val="779"/>
    <w:uiPriority w:val="39"/>
    <w:unhideWhenUsed/>
    <w:pPr>
      <w:ind w:left="1134" w:right="0" w:firstLine="0"/>
      <w:spacing w:after="57"/>
    </w:pPr>
  </w:style>
  <w:style w:type="paragraph" w:styleId="186">
    <w:name w:val="toc 7"/>
    <w:basedOn w:val="779"/>
    <w:next w:val="779"/>
    <w:uiPriority w:val="39"/>
    <w:unhideWhenUsed/>
    <w:pPr>
      <w:ind w:left="1701" w:right="0" w:firstLine="0"/>
      <w:spacing w:after="57"/>
    </w:pPr>
  </w:style>
  <w:style w:type="paragraph" w:styleId="187">
    <w:name w:val="toc 8"/>
    <w:basedOn w:val="779"/>
    <w:next w:val="779"/>
    <w:uiPriority w:val="39"/>
    <w:unhideWhenUsed/>
    <w:pPr>
      <w:ind w:left="1984" w:right="0" w:firstLine="0"/>
      <w:spacing w:after="57"/>
    </w:pPr>
  </w:style>
  <w:style w:type="paragraph" w:styleId="188">
    <w:name w:val="toc 9"/>
    <w:basedOn w:val="779"/>
    <w:next w:val="7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9"/>
    <w:next w:val="779"/>
    <w:uiPriority w:val="99"/>
    <w:unhideWhenUsed/>
    <w:pPr>
      <w:spacing w:after="0" w:afterAutospacing="0"/>
    </w:pPr>
  </w:style>
  <w:style w:type="paragraph" w:styleId="779" w:default="1">
    <w:name w:val="Normal"/>
    <w:next w:val="791"/>
    <w:uiPriority w:val="0"/>
    <w:qFormat/>
    <w:pPr>
      <w:spacing w:after="160" w:line="278" w:lineRule="auto"/>
      <w:widowControl w:val="off"/>
    </w:pPr>
    <w:rPr>
      <w:rFonts w:asciiTheme="minorHAnsi" w:hAnsiTheme="minorHAnsi" w:eastAsiaTheme="minorEastAsia" w:cstheme="minorBidi"/>
      <w:sz w:val="22"/>
      <w:szCs w:val="24"/>
      <w:lang w:val="en-US" w:eastAsia="zh-CN" w:bidi="ar-SA"/>
      <w14:ligatures w14:val="standardContextual"/>
    </w:rPr>
  </w:style>
  <w:style w:type="paragraph" w:styleId="780">
    <w:name w:val="Heading 1"/>
    <w:basedOn w:val="779"/>
    <w:next w:val="779"/>
    <w:link w:val="810"/>
    <w:uiPriority w:val="9"/>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781">
    <w:name w:val="Heading 2"/>
    <w:basedOn w:val="779"/>
    <w:next w:val="779"/>
    <w:link w:val="811"/>
    <w:uiPriority w:val="0"/>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782">
    <w:name w:val="Heading 3"/>
    <w:basedOn w:val="779"/>
    <w:next w:val="779"/>
    <w:link w:val="812"/>
    <w:uiPriority w:val="9"/>
    <w:semiHidden/>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783">
    <w:name w:val="Heading 4"/>
    <w:basedOn w:val="779"/>
    <w:next w:val="779"/>
    <w:link w:val="813"/>
    <w:uiPriority w:val="0"/>
    <w:unhideWhenUsed/>
    <w:qFormat/>
    <w:pPr>
      <w:keepLines/>
      <w:keepNext/>
      <w:spacing w:before="80" w:after="40"/>
      <w:outlineLvl w:val="3"/>
    </w:pPr>
    <w:rPr>
      <w:rFonts w:cstheme="majorBidi"/>
      <w:color w:val="104862" w:themeColor="accent1" w:themeShade="BF"/>
      <w:sz w:val="28"/>
      <w:szCs w:val="28"/>
    </w:rPr>
  </w:style>
  <w:style w:type="paragraph" w:styleId="784">
    <w:name w:val="Heading 5"/>
    <w:basedOn w:val="779"/>
    <w:next w:val="779"/>
    <w:link w:val="814"/>
    <w:uiPriority w:val="9"/>
    <w:semiHidden/>
    <w:unhideWhenUsed/>
    <w:qFormat/>
    <w:pPr>
      <w:keepLines/>
      <w:keepNext/>
      <w:spacing w:before="80" w:after="40"/>
      <w:outlineLvl w:val="4"/>
    </w:pPr>
    <w:rPr>
      <w:rFonts w:cstheme="majorBidi"/>
      <w:color w:val="104862" w:themeColor="accent1" w:themeShade="BF"/>
      <w:sz w:val="24"/>
    </w:rPr>
  </w:style>
  <w:style w:type="paragraph" w:styleId="785">
    <w:name w:val="Heading 6"/>
    <w:basedOn w:val="779"/>
    <w:next w:val="779"/>
    <w:link w:val="815"/>
    <w:uiPriority w:val="9"/>
    <w:semiHidden/>
    <w:unhideWhenUsed/>
    <w:qFormat/>
    <w:pPr>
      <w:keepLines/>
      <w:keepNext/>
      <w:spacing w:before="40" w:after="0"/>
      <w:outlineLvl w:val="5"/>
    </w:pPr>
    <w:rPr>
      <w:rFonts w:cstheme="majorBidi"/>
      <w:b/>
      <w:bCs/>
      <w:color w:val="104862" w:themeColor="accent1" w:themeShade="BF"/>
    </w:rPr>
  </w:style>
  <w:style w:type="paragraph" w:styleId="786">
    <w:name w:val="Heading 7"/>
    <w:basedOn w:val="779"/>
    <w:next w:val="779"/>
    <w:link w:val="816"/>
    <w:uiPriority w:val="9"/>
    <w:semiHidden/>
    <w:unhideWhenUsed/>
    <w:qFormat/>
    <w:pPr>
      <w:keepLines/>
      <w:keepNext/>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87">
    <w:name w:val="Heading 8"/>
    <w:basedOn w:val="779"/>
    <w:next w:val="779"/>
    <w:link w:val="817"/>
    <w:uiPriority w:val="9"/>
    <w:semiHidden/>
    <w:unhideWhenUsed/>
    <w:qFormat/>
    <w:pPr>
      <w:keepLines/>
      <w:keepNext/>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788">
    <w:name w:val="Heading 9"/>
    <w:basedOn w:val="779"/>
    <w:next w:val="779"/>
    <w:link w:val="818"/>
    <w:uiPriority w:val="9"/>
    <w:semiHidden/>
    <w:unhideWhenUsed/>
    <w:qFormat/>
    <w:pPr>
      <w:keepLines/>
      <w:keepNext/>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Body Text Indent 2"/>
    <w:basedOn w:val="779"/>
    <w:next w:val="779"/>
    <w:uiPriority w:val="0"/>
    <w:qFormat/>
    <w:pPr>
      <w:ind w:firstLine="560"/>
    </w:pPr>
    <w:rPr>
      <w:rFonts w:ascii="宋体" w:hAnsi="宋体" w:eastAsia="宋体" w:cs="Times New Roman"/>
      <w:sz w:val="28"/>
    </w:rPr>
  </w:style>
  <w:style w:type="paragraph" w:styleId="792">
    <w:name w:val="annotation text"/>
    <w:basedOn w:val="779"/>
    <w:link w:val="828"/>
    <w:uiPriority w:val="0"/>
    <w:qFormat/>
    <w:pPr>
      <w:spacing w:after="0" w:line="240" w:lineRule="auto"/>
    </w:pPr>
    <w:rPr>
      <w:rFonts w:ascii="Calibri" w:hAnsi="Calibri" w:eastAsia="宋体" w:cs="Times New Roman"/>
      <w:sz w:val="21"/>
      <w14:ligatures w14:val="none"/>
    </w:rPr>
  </w:style>
  <w:style w:type="paragraph" w:styleId="793">
    <w:name w:val="Body Text"/>
    <w:basedOn w:val="779"/>
    <w:next w:val="779"/>
    <w:link w:val="829"/>
    <w:uiPriority w:val="0"/>
    <w:unhideWhenUsed/>
    <w:qFormat/>
    <w:pPr>
      <w:jc w:val="both"/>
      <w:spacing w:after="120" w:line="240" w:lineRule="auto"/>
    </w:pPr>
    <w:rPr>
      <w:rFonts w:ascii="Calibri" w:hAnsi="Calibri" w:eastAsia="宋体" w:cs="Times New Roman"/>
      <w:sz w:val="21"/>
      <w:szCs w:val="22"/>
      <w14:ligatures w14:val="none"/>
    </w:rPr>
  </w:style>
  <w:style w:type="paragraph" w:styleId="794">
    <w:name w:val="Plain Text"/>
    <w:basedOn w:val="779"/>
    <w:link w:val="830"/>
    <w:uiPriority w:val="0"/>
    <w:unhideWhenUsed/>
    <w:qFormat/>
    <w:pPr>
      <w:jc w:val="both"/>
      <w:spacing w:after="0" w:line="240" w:lineRule="auto"/>
    </w:pPr>
    <w:rPr>
      <w:rFonts w:ascii="宋体" w:hAnsi="Courier New" w:eastAsia="宋体" w:cs="Courier New"/>
      <w:sz w:val="21"/>
      <w:szCs w:val="21"/>
      <w14:ligatures w14:val="none"/>
    </w:rPr>
  </w:style>
  <w:style w:type="paragraph" w:styleId="795">
    <w:name w:val="Balloon Text"/>
    <w:basedOn w:val="779"/>
    <w:link w:val="831"/>
    <w:uiPriority w:val="0"/>
    <w:qFormat/>
    <w:pPr>
      <w:jc w:val="both"/>
      <w:spacing w:after="0" w:line="240" w:lineRule="auto"/>
    </w:pPr>
    <w:rPr>
      <w:rFonts w:ascii="Calibri" w:hAnsi="Calibri" w:eastAsia="宋体" w:cs="Times New Roman"/>
      <w:sz w:val="18"/>
      <w:szCs w:val="18"/>
      <w14:ligatures w14:val="none"/>
    </w:rPr>
  </w:style>
  <w:style w:type="paragraph" w:styleId="796">
    <w:name w:val="Footer"/>
    <w:basedOn w:val="779"/>
    <w:link w:val="832"/>
    <w:uiPriority w:val="99"/>
    <w:qFormat/>
    <w:pPr>
      <w:spacing w:after="0" w:line="240" w:lineRule="auto"/>
      <w:tabs>
        <w:tab w:val="center" w:pos="4153" w:leader="none"/>
        <w:tab w:val="right" w:pos="8306" w:leader="none"/>
      </w:tabs>
    </w:pPr>
    <w:rPr>
      <w:rFonts w:ascii="Calibri" w:hAnsi="Calibri" w:eastAsia="宋体" w:cs="Times New Roman"/>
      <w:sz w:val="18"/>
      <w:szCs w:val="18"/>
      <w14:ligatures w14:val="none"/>
    </w:rPr>
  </w:style>
  <w:style w:type="paragraph" w:styleId="797">
    <w:name w:val="Header"/>
    <w:basedOn w:val="779"/>
    <w:link w:val="833"/>
    <w:uiPriority w:val="99"/>
    <w:qFormat/>
    <w:pPr>
      <w:jc w:val="center"/>
      <w:spacing w:after="0" w:line="240" w:lineRule="auto"/>
      <w:tabs>
        <w:tab w:val="center" w:pos="4153" w:leader="none"/>
        <w:tab w:val="right" w:pos="8306" w:leader="none"/>
      </w:tabs>
      <w:pBdr>
        <w:bottom w:val="single" w:color="auto" w:sz="6" w:space="1"/>
      </w:pBdr>
    </w:pPr>
    <w:rPr>
      <w:rFonts w:ascii="Calibri" w:hAnsi="Calibri" w:eastAsia="宋体" w:cs="Times New Roman"/>
      <w:sz w:val="18"/>
      <w:szCs w:val="18"/>
      <w14:ligatures w14:val="none"/>
    </w:rPr>
  </w:style>
  <w:style w:type="paragraph" w:styleId="798">
    <w:name w:val="Subtitle"/>
    <w:basedOn w:val="779"/>
    <w:next w:val="779"/>
    <w:link w:val="820"/>
    <w:uiPriority w:val="11"/>
    <w:qFormat/>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99">
    <w:name w:val="toc 6"/>
    <w:basedOn w:val="779"/>
    <w:next w:val="779"/>
    <w:uiPriority w:val="39"/>
    <w:unhideWhenUsed/>
    <w:qFormat/>
    <w:pPr>
      <w:ind w:left="900"/>
      <w:jc w:val="both"/>
      <w:spacing w:after="0" w:line="240" w:lineRule="auto"/>
    </w:pPr>
    <w:rPr>
      <w:rFonts w:ascii="Calibri" w:hAnsi="Calibri" w:eastAsia="宋体" w:cs="Calibri"/>
      <w:sz w:val="21"/>
      <w:szCs w:val="18"/>
      <w14:ligatures w14:val="none"/>
    </w:rPr>
  </w:style>
  <w:style w:type="paragraph" w:styleId="800">
    <w:name w:val="Normal (Web)"/>
    <w:basedOn w:val="779"/>
    <w:uiPriority w:val="0"/>
    <w:qFormat/>
    <w:pPr>
      <w:spacing w:beforeAutospacing="1" w:after="0" w:afterAutospacing="1" w:line="240" w:lineRule="auto"/>
    </w:pPr>
    <w:rPr>
      <w:rFonts w:ascii="Calibri" w:hAnsi="Calibri" w:eastAsia="宋体" w:cs="Times New Roman"/>
      <w:sz w:val="24"/>
      <w14:ligatures w14:val="none"/>
    </w:rPr>
  </w:style>
  <w:style w:type="paragraph" w:styleId="801">
    <w:name w:val="Title"/>
    <w:basedOn w:val="779"/>
    <w:next w:val="779"/>
    <w:link w:val="819"/>
    <w:uiPriority w:val="10"/>
    <w:qFormat/>
    <w:pPr>
      <w:contextualSpacing/>
      <w:jc w:val="center"/>
      <w:spacing w:after="80" w:line="240" w:lineRule="auto"/>
    </w:pPr>
    <w:rPr>
      <w:rFonts w:asciiTheme="majorHAnsi" w:hAnsiTheme="majorHAnsi" w:eastAsiaTheme="majorEastAsia" w:cstheme="majorBidi"/>
      <w:spacing w:val="-10"/>
      <w:sz w:val="56"/>
      <w:szCs w:val="56"/>
    </w:rPr>
  </w:style>
  <w:style w:type="paragraph" w:styleId="802">
    <w:name w:val="annotation subject"/>
    <w:basedOn w:val="792"/>
    <w:next w:val="792"/>
    <w:link w:val="834"/>
    <w:uiPriority w:val="0"/>
    <w:qFormat/>
    <w:rPr>
      <w:b/>
      <w:bCs/>
    </w:rPr>
  </w:style>
  <w:style w:type="paragraph" w:styleId="803">
    <w:name w:val="Body Text First Indent"/>
    <w:basedOn w:val="779"/>
    <w:next w:val="799"/>
    <w:link w:val="835"/>
    <w:uiPriority w:val="0"/>
    <w:qFormat/>
    <w:pPr>
      <w:ind w:firstLine="420"/>
      <w:jc w:val="both"/>
      <w:spacing w:after="0" w:line="240" w:lineRule="auto"/>
    </w:pPr>
    <w:rPr>
      <w:rFonts w:ascii="Calibri" w:hAnsi="Calibri" w:eastAsia="宋体" w:cs="Times New Roman"/>
      <w:sz w:val="21"/>
      <w14:ligatures w14:val="none"/>
    </w:rPr>
  </w:style>
  <w:style w:type="table" w:styleId="804">
    <w:name w:val="Table Grid"/>
    <w:basedOn w:val="790"/>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Strong"/>
    <w:uiPriority w:val="0"/>
    <w:qFormat/>
    <w:rPr>
      <w:b/>
      <w:bCs/>
    </w:rPr>
  </w:style>
  <w:style w:type="character" w:styleId="806">
    <w:name w:val="FollowedHyperlink"/>
    <w:uiPriority w:val="0"/>
    <w:qFormat/>
    <w:rPr>
      <w:color w:val="333333"/>
      <w:u w:val="none"/>
    </w:rPr>
  </w:style>
  <w:style w:type="character" w:styleId="807">
    <w:name w:val="Hyperlink"/>
    <w:uiPriority w:val="0"/>
    <w:qFormat/>
    <w:rPr>
      <w:color w:val="333333"/>
      <w:u w:val="none"/>
    </w:rPr>
  </w:style>
  <w:style w:type="character" w:styleId="808">
    <w:name w:val="annotation reference"/>
    <w:uiPriority w:val="0"/>
    <w:qFormat/>
    <w:rPr>
      <w:sz w:val="21"/>
      <w:szCs w:val="21"/>
    </w:rPr>
  </w:style>
  <w:style w:type="paragraph" w:styleId="809" w:customStyle="1">
    <w:name w:val="Default"/>
    <w:basedOn w:val="779"/>
    <w:uiPriority w:val="0"/>
    <w:semiHidden/>
    <w:qFormat/>
    <w:rPr>
      <w:rFonts w:ascii="宋体" w:hAnsi="Calibri" w:cs="宋体"/>
      <w:color w:val="000000"/>
      <w:sz w:val="24"/>
    </w:rPr>
  </w:style>
  <w:style w:type="character" w:styleId="810" w:customStyle="1">
    <w:name w:val="标题 1 字符"/>
    <w:basedOn w:val="789"/>
    <w:link w:val="780"/>
    <w:uiPriority w:val="9"/>
    <w:qFormat/>
    <w:rPr>
      <w:rFonts w:asciiTheme="majorHAnsi" w:hAnsiTheme="majorHAnsi" w:eastAsiaTheme="majorEastAsia" w:cstheme="majorBidi"/>
      <w:color w:val="104862" w:themeColor="accent1" w:themeShade="BF"/>
      <w:sz w:val="48"/>
      <w:szCs w:val="48"/>
    </w:rPr>
  </w:style>
  <w:style w:type="character" w:styleId="811" w:customStyle="1">
    <w:name w:val="标题 2 字符"/>
    <w:basedOn w:val="789"/>
    <w:link w:val="781"/>
    <w:uiPriority w:val="9"/>
    <w:semiHidden/>
    <w:qFormat/>
    <w:rPr>
      <w:rFonts w:asciiTheme="majorHAnsi" w:hAnsiTheme="majorHAnsi" w:eastAsiaTheme="majorEastAsia" w:cstheme="majorBidi"/>
      <w:color w:val="104862" w:themeColor="accent1" w:themeShade="BF"/>
      <w:sz w:val="40"/>
      <w:szCs w:val="40"/>
    </w:rPr>
  </w:style>
  <w:style w:type="character" w:styleId="812" w:customStyle="1">
    <w:name w:val="标题 3 字符"/>
    <w:basedOn w:val="789"/>
    <w:link w:val="782"/>
    <w:uiPriority w:val="9"/>
    <w:semiHidden/>
    <w:qFormat/>
    <w:rPr>
      <w:rFonts w:asciiTheme="majorHAnsi" w:hAnsiTheme="majorHAnsi" w:eastAsiaTheme="majorEastAsia" w:cstheme="majorBidi"/>
      <w:color w:val="104862" w:themeColor="accent1" w:themeShade="BF"/>
      <w:sz w:val="32"/>
      <w:szCs w:val="32"/>
    </w:rPr>
  </w:style>
  <w:style w:type="character" w:styleId="813" w:customStyle="1">
    <w:name w:val="标题 4 字符"/>
    <w:basedOn w:val="789"/>
    <w:link w:val="783"/>
    <w:uiPriority w:val="0"/>
    <w:semiHidden/>
    <w:qFormat/>
    <w:rPr>
      <w:rFonts w:cstheme="majorBidi"/>
      <w:color w:val="104862" w:themeColor="accent1" w:themeShade="BF"/>
      <w:sz w:val="28"/>
      <w:szCs w:val="28"/>
    </w:rPr>
  </w:style>
  <w:style w:type="character" w:styleId="814" w:customStyle="1">
    <w:name w:val="标题 5 字符"/>
    <w:basedOn w:val="789"/>
    <w:link w:val="784"/>
    <w:uiPriority w:val="9"/>
    <w:semiHidden/>
    <w:qFormat/>
    <w:rPr>
      <w:rFonts w:cstheme="majorBidi"/>
      <w:color w:val="104862" w:themeColor="accent1" w:themeShade="BF"/>
      <w:sz w:val="24"/>
    </w:rPr>
  </w:style>
  <w:style w:type="character" w:styleId="815" w:customStyle="1">
    <w:name w:val="标题 6 字符"/>
    <w:basedOn w:val="789"/>
    <w:link w:val="785"/>
    <w:uiPriority w:val="9"/>
    <w:semiHidden/>
    <w:qFormat/>
    <w:rPr>
      <w:rFonts w:cstheme="majorBidi"/>
      <w:b/>
      <w:bCs/>
      <w:color w:val="104862" w:themeColor="accent1" w:themeShade="BF"/>
    </w:rPr>
  </w:style>
  <w:style w:type="character" w:styleId="816" w:customStyle="1">
    <w:name w:val="标题 7 字符"/>
    <w:basedOn w:val="789"/>
    <w:link w:val="786"/>
    <w:uiPriority w:val="9"/>
    <w:semiHidden/>
    <w:qFormat/>
    <w:rPr>
      <w:rFonts w:cstheme="majorBidi"/>
      <w:b/>
      <w:bCs/>
      <w:color w:val="595959" w:themeColor="text1" w:themeTint="A6"/>
      <w14:textFill>
        <w14:solidFill>
          <w14:schemeClr w14:val="tx1">
            <w14:lumMod w14:val="65000"/>
            <w14:lumOff w14:val="35000"/>
          </w14:schemeClr>
        </w14:solidFill>
      </w14:textFill>
    </w:rPr>
  </w:style>
  <w:style w:type="character" w:styleId="817" w:customStyle="1">
    <w:name w:val="标题 8 字符"/>
    <w:basedOn w:val="789"/>
    <w:link w:val="787"/>
    <w:uiPriority w:val="9"/>
    <w:semiHidden/>
    <w:qFormat/>
    <w:rPr>
      <w:rFonts w:cstheme="majorBidi"/>
      <w:color w:val="595959" w:themeColor="text1" w:themeTint="A6"/>
      <w14:textFill>
        <w14:solidFill>
          <w14:schemeClr w14:val="tx1">
            <w14:lumMod w14:val="65000"/>
            <w14:lumOff w14:val="35000"/>
          </w14:schemeClr>
        </w14:solidFill>
      </w14:textFill>
    </w:rPr>
  </w:style>
  <w:style w:type="character" w:styleId="818" w:customStyle="1">
    <w:name w:val="标题 9 字符"/>
    <w:basedOn w:val="789"/>
    <w:link w:val="788"/>
    <w:uiPriority w:val="9"/>
    <w:semiHidden/>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19" w:customStyle="1">
    <w:name w:val="标题 字符"/>
    <w:basedOn w:val="789"/>
    <w:link w:val="801"/>
    <w:uiPriority w:val="10"/>
    <w:qFormat/>
    <w:rPr>
      <w:rFonts w:asciiTheme="majorHAnsi" w:hAnsiTheme="majorHAnsi" w:eastAsiaTheme="majorEastAsia" w:cstheme="majorBidi"/>
      <w:spacing w:val="-10"/>
      <w:sz w:val="56"/>
      <w:szCs w:val="56"/>
    </w:rPr>
  </w:style>
  <w:style w:type="character" w:styleId="820" w:customStyle="1">
    <w:name w:val="副标题 字符"/>
    <w:basedOn w:val="789"/>
    <w:link w:val="798"/>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21">
    <w:name w:val="Quote"/>
    <w:basedOn w:val="779"/>
    <w:next w:val="779"/>
    <w:link w:val="822"/>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822" w:customStyle="1">
    <w:name w:val="引用 字符"/>
    <w:basedOn w:val="789"/>
    <w:link w:val="821"/>
    <w:uiPriority w:val="29"/>
    <w:qFormat/>
    <w:rPr>
      <w:i/>
      <w:iCs/>
      <w:color w:val="404040" w:themeColor="text1" w:themeTint="BF"/>
      <w14:textFill>
        <w14:solidFill>
          <w14:schemeClr w14:val="tx1">
            <w14:lumMod w14:val="75000"/>
            <w14:lumOff w14:val="25000"/>
          </w14:schemeClr>
        </w14:solidFill>
      </w14:textFill>
    </w:rPr>
  </w:style>
  <w:style w:type="paragraph" w:styleId="823">
    <w:name w:val="List Paragraph"/>
    <w:basedOn w:val="779"/>
    <w:uiPriority w:val="34"/>
    <w:qFormat/>
    <w:pPr>
      <w:contextualSpacing/>
      <w:ind w:left="720"/>
    </w:pPr>
  </w:style>
  <w:style w:type="character" w:styleId="824" w:customStyle="1">
    <w:name w:val="明显强调1"/>
    <w:basedOn w:val="789"/>
    <w:uiPriority w:val="21"/>
    <w:qFormat/>
    <w:rPr>
      <w:i/>
      <w:iCs/>
      <w:color w:val="104862" w:themeColor="accent1" w:themeShade="BF"/>
    </w:rPr>
  </w:style>
  <w:style w:type="paragraph" w:styleId="825">
    <w:name w:val="Intense Quote"/>
    <w:basedOn w:val="779"/>
    <w:next w:val="779"/>
    <w:link w:val="826"/>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826" w:customStyle="1">
    <w:name w:val="明显引用 字符"/>
    <w:basedOn w:val="789"/>
    <w:link w:val="825"/>
    <w:uiPriority w:val="30"/>
    <w:qFormat/>
    <w:rPr>
      <w:i/>
      <w:iCs/>
      <w:color w:val="104862" w:themeColor="accent1" w:themeShade="BF"/>
    </w:rPr>
  </w:style>
  <w:style w:type="character" w:styleId="827" w:customStyle="1">
    <w:name w:val="明显参考1"/>
    <w:basedOn w:val="789"/>
    <w:uiPriority w:val="32"/>
    <w:qFormat/>
    <w:rPr>
      <w:b/>
      <w:bCs/>
      <w:smallCaps/>
      <w:color w:val="104862" w:themeColor="accent1" w:themeShade="BF"/>
      <w:spacing w:val="5"/>
    </w:rPr>
  </w:style>
  <w:style w:type="character" w:styleId="828" w:customStyle="1">
    <w:name w:val="批注文字 字符"/>
    <w:basedOn w:val="789"/>
    <w:link w:val="792"/>
    <w:uiPriority w:val="0"/>
    <w:qFormat/>
    <w:rPr>
      <w:rFonts w:ascii="Calibri" w:hAnsi="Calibri" w:eastAsia="宋体" w:cs="Times New Roman"/>
      <w:sz w:val="21"/>
      <w14:ligatures w14:val="none"/>
    </w:rPr>
  </w:style>
  <w:style w:type="character" w:styleId="829" w:customStyle="1">
    <w:name w:val="正文文本 字符"/>
    <w:basedOn w:val="789"/>
    <w:link w:val="793"/>
    <w:uiPriority w:val="0"/>
    <w:qFormat/>
    <w:rPr>
      <w:rFonts w:ascii="Calibri" w:hAnsi="Calibri" w:eastAsia="宋体" w:cs="Times New Roman"/>
      <w:sz w:val="21"/>
      <w:szCs w:val="22"/>
      <w14:ligatures w14:val="none"/>
    </w:rPr>
  </w:style>
  <w:style w:type="character" w:styleId="830" w:customStyle="1">
    <w:name w:val="纯文本 字符"/>
    <w:basedOn w:val="789"/>
    <w:link w:val="794"/>
    <w:uiPriority w:val="0"/>
    <w:qFormat/>
    <w:rPr>
      <w:rFonts w:ascii="宋体" w:hAnsi="Courier New" w:eastAsia="宋体" w:cs="Courier New"/>
      <w:sz w:val="21"/>
      <w:szCs w:val="21"/>
      <w14:ligatures w14:val="none"/>
    </w:rPr>
  </w:style>
  <w:style w:type="character" w:styleId="831" w:customStyle="1">
    <w:name w:val="批注框文本 字符"/>
    <w:basedOn w:val="789"/>
    <w:link w:val="795"/>
    <w:uiPriority w:val="0"/>
    <w:qFormat/>
    <w:rPr>
      <w:rFonts w:ascii="Calibri" w:hAnsi="Calibri" w:eastAsia="宋体" w:cs="Times New Roman"/>
      <w:sz w:val="18"/>
      <w:szCs w:val="18"/>
      <w14:ligatures w14:val="none"/>
    </w:rPr>
  </w:style>
  <w:style w:type="character" w:styleId="832" w:customStyle="1">
    <w:name w:val="页脚 字符"/>
    <w:basedOn w:val="789"/>
    <w:link w:val="796"/>
    <w:uiPriority w:val="99"/>
    <w:qFormat/>
    <w:rPr>
      <w:rFonts w:ascii="Calibri" w:hAnsi="Calibri" w:eastAsia="宋体" w:cs="Times New Roman"/>
      <w:sz w:val="18"/>
      <w:szCs w:val="18"/>
      <w14:ligatures w14:val="none"/>
    </w:rPr>
  </w:style>
  <w:style w:type="character" w:styleId="833" w:customStyle="1">
    <w:name w:val="页眉 字符"/>
    <w:basedOn w:val="789"/>
    <w:link w:val="797"/>
    <w:uiPriority w:val="99"/>
    <w:qFormat/>
    <w:rPr>
      <w:rFonts w:ascii="Calibri" w:hAnsi="Calibri" w:eastAsia="宋体" w:cs="Times New Roman"/>
      <w:sz w:val="18"/>
      <w:szCs w:val="18"/>
      <w14:ligatures w14:val="none"/>
    </w:rPr>
  </w:style>
  <w:style w:type="character" w:styleId="834" w:customStyle="1">
    <w:name w:val="批注主题 字符"/>
    <w:basedOn w:val="828"/>
    <w:link w:val="802"/>
    <w:uiPriority w:val="0"/>
    <w:qFormat/>
    <w:rPr>
      <w:rFonts w:ascii="Calibri" w:hAnsi="Calibri" w:eastAsia="宋体" w:cs="Times New Roman"/>
      <w:b/>
      <w:bCs/>
      <w:sz w:val="21"/>
      <w14:ligatures w14:val="none"/>
    </w:rPr>
  </w:style>
  <w:style w:type="character" w:styleId="835" w:customStyle="1">
    <w:name w:val="正文文本首行缩进 字符"/>
    <w:basedOn w:val="829"/>
    <w:link w:val="803"/>
    <w:uiPriority w:val="0"/>
    <w:qFormat/>
    <w:rPr>
      <w:rFonts w:ascii="Calibri" w:hAnsi="Calibri" w:eastAsia="宋体" w:cs="Times New Roman"/>
      <w:sz w:val="21"/>
      <w:szCs w:val="22"/>
      <w14:ligatures w14:val="none"/>
    </w:rPr>
  </w:style>
  <w:style w:type="character" w:styleId="836" w:customStyle="1">
    <w:name w:val="font211"/>
    <w:uiPriority w:val="0"/>
    <w:qFormat/>
    <w:rPr>
      <w:rFonts w:hint="default" w:ascii="Times New Roman" w:hAnsi="Times New Roman" w:cs="Times New Roman"/>
      <w:color w:val="000000"/>
      <w:sz w:val="24"/>
      <w:szCs w:val="24"/>
      <w:u w:val="none"/>
    </w:rPr>
  </w:style>
  <w:style w:type="character" w:styleId="837" w:customStyle="1">
    <w:name w:val="font131"/>
    <w:uiPriority w:val="0"/>
    <w:qFormat/>
    <w:rPr>
      <w:rFonts w:hint="default" w:ascii="Times New Roman" w:hAnsi="Times New Roman" w:cs="Times New Roman"/>
      <w:color w:val="000000"/>
      <w:sz w:val="24"/>
      <w:szCs w:val="24"/>
      <w:u w:val="none"/>
    </w:rPr>
  </w:style>
  <w:style w:type="character" w:styleId="838" w:customStyle="1">
    <w:name w:val="font171"/>
    <w:uiPriority w:val="0"/>
    <w:qFormat/>
    <w:rPr>
      <w:rFonts w:hint="default" w:ascii="Times New Roman" w:hAnsi="Times New Roman" w:cs="Times New Roman"/>
      <w:b/>
      <w:bCs/>
      <w:color w:val="000000"/>
      <w:sz w:val="22"/>
      <w:szCs w:val="22"/>
      <w:u w:val="none"/>
    </w:rPr>
  </w:style>
  <w:style w:type="character" w:styleId="839" w:customStyle="1">
    <w:name w:val="font261"/>
    <w:uiPriority w:val="0"/>
    <w:qFormat/>
    <w:rPr>
      <w:rFonts w:hint="eastAsia" w:ascii="宋体" w:hAnsi="宋体" w:eastAsia="宋体" w:cs="宋体"/>
      <w:color w:val="ff0000"/>
      <w:sz w:val="24"/>
      <w:szCs w:val="24"/>
      <w:u w:val="none"/>
    </w:rPr>
  </w:style>
  <w:style w:type="character" w:styleId="840" w:customStyle="1">
    <w:name w:val="font61"/>
    <w:uiPriority w:val="0"/>
    <w:qFormat/>
    <w:rPr>
      <w:rFonts w:hint="default" w:ascii="Calibri" w:hAnsi="Calibri" w:cs="Calibri"/>
      <w:color w:val="000000"/>
      <w:sz w:val="24"/>
      <w:szCs w:val="24"/>
      <w:u w:val="none"/>
    </w:rPr>
  </w:style>
  <w:style w:type="character" w:styleId="841" w:customStyle="1">
    <w:name w:val="font11"/>
    <w:uiPriority w:val="0"/>
    <w:qFormat/>
    <w:rPr>
      <w:rFonts w:hint="eastAsia" w:ascii="宋体" w:hAnsi="宋体" w:eastAsia="宋体" w:cs="宋体"/>
      <w:color w:val="000000"/>
      <w:sz w:val="22"/>
      <w:szCs w:val="22"/>
      <w:u w:val="none"/>
    </w:rPr>
  </w:style>
  <w:style w:type="character" w:styleId="842" w:customStyle="1">
    <w:name w:val="font251"/>
    <w:uiPriority w:val="0"/>
    <w:qFormat/>
    <w:rPr>
      <w:rFonts w:hint="default" w:ascii="Times New Roman" w:hAnsi="Times New Roman" w:cs="Times New Roman"/>
      <w:color w:val="ff0000"/>
      <w:sz w:val="24"/>
      <w:szCs w:val="24"/>
      <w:u w:val="none"/>
    </w:rPr>
  </w:style>
  <w:style w:type="character" w:styleId="843" w:customStyle="1">
    <w:name w:val="font222"/>
    <w:uiPriority w:val="0"/>
    <w:qFormat/>
    <w:rPr>
      <w:rFonts w:hint="eastAsia" w:ascii="宋体" w:hAnsi="宋体" w:eastAsia="宋体" w:cs="宋体"/>
      <w:b/>
      <w:bCs/>
      <w:color w:val="ff0000"/>
      <w:sz w:val="24"/>
      <w:szCs w:val="24"/>
      <w:u w:val="none"/>
    </w:rPr>
  </w:style>
  <w:style w:type="character" w:styleId="844" w:customStyle="1">
    <w:name w:val="font01"/>
    <w:uiPriority w:val="0"/>
    <w:qFormat/>
    <w:rPr>
      <w:rFonts w:hint="eastAsia" w:ascii="宋体" w:hAnsi="宋体" w:eastAsia="宋体" w:cs="宋体"/>
      <w:color w:val="000000"/>
      <w:sz w:val="22"/>
      <w:szCs w:val="22"/>
      <w:u w:val="none"/>
    </w:rPr>
  </w:style>
  <w:style w:type="character" w:styleId="845" w:customStyle="1">
    <w:name w:val="font71"/>
    <w:uiPriority w:val="0"/>
    <w:qFormat/>
    <w:rPr>
      <w:rFonts w:hint="eastAsia" w:ascii="宋体" w:hAnsi="宋体" w:eastAsia="宋体" w:cs="宋体"/>
      <w:color w:val="000000"/>
      <w:sz w:val="24"/>
      <w:szCs w:val="24"/>
      <w:u w:val="none"/>
    </w:rPr>
  </w:style>
  <w:style w:type="character" w:styleId="846" w:customStyle="1">
    <w:name w:val="font181"/>
    <w:uiPriority w:val="0"/>
    <w:qFormat/>
    <w:rPr>
      <w:rFonts w:hint="default" w:ascii="Calibri" w:hAnsi="Calibri" w:cs="Calibri"/>
      <w:color w:val="000000"/>
      <w:sz w:val="22"/>
      <w:szCs w:val="22"/>
      <w:u w:val="none"/>
    </w:rPr>
  </w:style>
  <w:style w:type="character" w:styleId="847" w:customStyle="1">
    <w:name w:val="font31"/>
    <w:uiPriority w:val="0"/>
    <w:qFormat/>
    <w:rPr>
      <w:rFonts w:hint="eastAsia" w:ascii="宋体" w:hAnsi="宋体" w:eastAsia="宋体" w:cs="宋体"/>
      <w:b/>
      <w:bCs/>
      <w:color w:val="000000"/>
      <w:sz w:val="22"/>
      <w:szCs w:val="22"/>
      <w:u w:val="none"/>
    </w:rPr>
  </w:style>
  <w:style w:type="character" w:styleId="848" w:customStyle="1">
    <w:name w:val="font22"/>
    <w:uiPriority w:val="0"/>
    <w:qFormat/>
    <w:rPr>
      <w:rFonts w:hint="eastAsia" w:ascii="宋体" w:hAnsi="宋体" w:eastAsia="宋体" w:cs="宋体"/>
      <w:color w:val="000000"/>
      <w:sz w:val="24"/>
      <w:szCs w:val="24"/>
      <w:u w:val="none"/>
    </w:rPr>
  </w:style>
  <w:style w:type="character" w:styleId="849" w:customStyle="1">
    <w:name w:val="font81"/>
    <w:uiPriority w:val="0"/>
    <w:qFormat/>
    <w:rPr>
      <w:rFonts w:hint="eastAsia" w:ascii="宋体" w:hAnsi="宋体" w:eastAsia="宋体" w:cs="宋体"/>
      <w:color w:val="000000"/>
      <w:sz w:val="24"/>
      <w:szCs w:val="24"/>
      <w:u w:val="none"/>
    </w:rPr>
  </w:style>
  <w:style w:type="character" w:styleId="850" w:customStyle="1">
    <w:name w:val="font151"/>
    <w:uiPriority w:val="0"/>
    <w:qFormat/>
    <w:rPr>
      <w:rFonts w:hint="default" w:ascii="Times New Roman" w:hAnsi="Times New Roman" w:cs="Times New Roman"/>
      <w:color w:val="000000"/>
      <w:sz w:val="22"/>
      <w:szCs w:val="22"/>
      <w:u w:val="none"/>
    </w:rPr>
  </w:style>
  <w:style w:type="paragraph" w:styleId="851" w:customStyle="1">
    <w:name w:val="WPSOffice手动目录 2"/>
    <w:uiPriority w:val="0"/>
    <w:qFormat/>
    <w:pPr>
      <w:ind w:left="200"/>
    </w:pPr>
    <w:rPr>
      <w:rFonts w:ascii="Times New Roman" w:hAnsi="Times New Roman" w:eastAsia="宋体" w:cs="Times New Roman"/>
      <w:lang w:val="en-US" w:eastAsia="zh-CN" w:bidi="ar-SA"/>
    </w:rPr>
  </w:style>
  <w:style w:type="paragraph" w:styleId="852" w:customStyle="1">
    <w:name w:val="修订2"/>
    <w:uiPriority w:val="99"/>
    <w:unhideWhenUsed/>
    <w:qFormat/>
    <w:rPr>
      <w:rFonts w:ascii="Calibri" w:hAnsi="Calibri" w:eastAsia="宋体" w:cs="Times New Roman"/>
      <w:sz w:val="21"/>
      <w:szCs w:val="24"/>
      <w:lang w:val="en-US" w:eastAsia="zh-CN" w:bidi="ar-SA"/>
    </w:rPr>
  </w:style>
  <w:style w:type="paragraph" w:styleId="853" w:customStyle="1">
    <w:name w:val="段"/>
    <w:next w:val="779"/>
    <w:uiPriority w:val="0"/>
    <w:qFormat/>
    <w:pPr>
      <w:ind w:firstLine="200"/>
      <w:jc w:val="both"/>
    </w:pPr>
    <w:rPr>
      <w:rFonts w:ascii="宋体" w:hAnsi="Times New Roman" w:eastAsia="宋体" w:cs="Times New Roman"/>
      <w:sz w:val="21"/>
      <w:szCs w:val="22"/>
      <w:lang w:val="en-US" w:eastAsia="zh-CN" w:bidi="ar-SA"/>
    </w:rPr>
  </w:style>
  <w:style w:type="paragraph" w:styleId="854" w:customStyle="1">
    <w:name w:val="p"/>
    <w:basedOn w:val="779"/>
    <w:uiPriority w:val="0"/>
    <w:qFormat/>
    <w:pPr>
      <w:spacing w:before="100" w:beforeAutospacing="1" w:after="100" w:afterAutospacing="1" w:line="240" w:lineRule="auto"/>
      <w:widowControl/>
    </w:pPr>
    <w:rPr>
      <w:rFonts w:ascii="宋体" w:hAnsi="宋体" w:eastAsia="宋体" w:cs="宋体"/>
      <w:sz w:val="24"/>
      <w14:ligatures w14:val="none"/>
    </w:rPr>
  </w:style>
  <w:style w:type="paragraph" w:styleId="855" w:customStyle="1">
    <w:name w:val="WPSOffice手动目录 3"/>
    <w:uiPriority w:val="0"/>
    <w:qFormat/>
    <w:pPr>
      <w:ind w:left="400"/>
    </w:pPr>
    <w:rPr>
      <w:rFonts w:ascii="Times New Roman" w:hAnsi="Times New Roman" w:eastAsia="宋体" w:cs="Times New Roman"/>
      <w:lang w:val="en-US" w:eastAsia="zh-CN" w:bidi="ar-SA"/>
    </w:rPr>
  </w:style>
  <w:style w:type="paragraph" w:styleId="856" w:customStyle="1">
    <w:name w:val="BodyText1I"/>
    <w:basedOn w:val="779"/>
    <w:uiPriority w:val="0"/>
    <w:qFormat/>
    <w:pPr>
      <w:jc w:val="both"/>
      <w:spacing w:after="0" w:line="240" w:lineRule="auto"/>
    </w:pPr>
    <w:rPr>
      <w:rFonts w:ascii="Calibri" w:hAnsi="Calibri" w:eastAsia="宋体" w:cs="Times New Roman"/>
      <w:sz w:val="21"/>
      <w:szCs w:val="21"/>
      <w14:ligatures w14:val="none"/>
    </w:rPr>
  </w:style>
  <w:style w:type="paragraph" w:styleId="857" w:customStyle="1">
    <w:name w:val="修订1"/>
    <w:uiPriority w:val="99"/>
    <w:unhideWhenUsed/>
    <w:qFormat/>
    <w:rPr>
      <w:rFonts w:ascii="Calibri" w:hAnsi="Calibri" w:eastAsia="宋体" w:cs="Times New Roman"/>
      <w:sz w:val="21"/>
      <w:szCs w:val="24"/>
      <w:lang w:val="en-US" w:eastAsia="zh-CN" w:bidi="ar-SA"/>
    </w:rPr>
  </w:style>
  <w:style w:type="paragraph" w:styleId="858" w:customStyle="1">
    <w:name w:val="WPSOffice手动目录 1"/>
    <w:uiPriority w:val="0"/>
    <w:qFormat/>
    <w:rPr>
      <w:rFonts w:ascii="Times New Roman" w:hAnsi="Times New Roman" w:eastAsia="宋体" w:cs="Times New Roman"/>
      <w:lang w:val="en-US" w:eastAsia="zh-CN" w:bidi="ar-SA"/>
    </w:rPr>
  </w:style>
  <w:style w:type="paragraph" w:styleId="859" w:customStyle="1">
    <w:name w:val="[Normal]"/>
    <w:uiPriority w:val="0"/>
    <w:qFormat/>
    <w:rPr>
      <w:rFonts w:ascii="宋体" w:hAnsi="宋体" w:eastAsia="宋体" w:cs="Times New Roman"/>
      <w:sz w:val="24"/>
      <w:szCs w:val="22"/>
      <w:lang w:val="zh-CN" w:eastAsia="zh-CN" w:bidi="ar-SA"/>
    </w:rPr>
  </w:style>
  <w:style w:type="paragraph" w:styleId="860" w:customStyle="1">
    <w:name w:val="页脚1"/>
    <w:basedOn w:val="779"/>
    <w:uiPriority w:val="99"/>
    <w:unhideWhenUsed/>
    <w:qFormat/>
    <w:pPr>
      <w:spacing w:after="0" w:line="240" w:lineRule="auto"/>
      <w:tabs>
        <w:tab w:val="center" w:pos="4153" w:leader="none"/>
        <w:tab w:val="right" w:pos="8306" w:leader="none"/>
      </w:tabs>
    </w:pPr>
    <w:rPr>
      <w:rFonts w:ascii="Calibri" w:hAnsi="Calibri" w:eastAsia="宋体" w:cs="Times New Roman"/>
      <w:sz w:val="18"/>
      <w:szCs w:val="18"/>
      <w14:ligatures w14:val="none"/>
    </w:rPr>
  </w:style>
  <w:style w:type="paragraph" w:styleId="861" w:customStyle="1">
    <w:name w:val="正文空2格  1."/>
    <w:basedOn w:val="779"/>
    <w:uiPriority w:val="0"/>
    <w:qFormat/>
    <w:pPr>
      <w:ind w:firstLine="480"/>
      <w:jc w:val="both"/>
      <w:spacing w:after="0" w:line="360" w:lineRule="auto"/>
    </w:pPr>
    <w:rPr>
      <w:rFonts w:ascii="宋体" w:hAnsi="Calibri" w:eastAsia="仿宋" w:cs="宋体"/>
      <w:sz w:val="28"/>
      <w:szCs w:val="20"/>
      <w14:ligatures w14:val="none"/>
    </w:rPr>
  </w:style>
  <w:style w:type="paragraph" w:styleId="86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3" w:customStyle="1">
    <w:name w:val="普通正文"/>
    <w:basedOn w:val="779"/>
    <w:uiPriority w:val="0"/>
    <w:qFormat/>
    <w:pPr>
      <w:ind w:firstLine="480"/>
      <w:spacing w:before="120" w:after="120" w:line="360" w:lineRule="auto"/>
    </w:pPr>
    <w:rPr>
      <w:rFonts w:ascii="Arial" w:hAnsi="Arial" w:eastAsia="宋体" w:cs="Times New Roman"/>
      <w:sz w:val="24"/>
      <w14:ligatures w14:val="none"/>
    </w:rPr>
  </w:style>
  <w:style w:type="paragraph" w:styleId="864" w:customStyle="1">
    <w:name w:val="修订3"/>
    <w:uiPriority w:val="99"/>
    <w:unhideWhenUsed/>
    <w:qFormat/>
    <w:rPr>
      <w:rFonts w:ascii="Calibri" w:hAnsi="Calibri" w:eastAsia="宋体" w:cs="Times New Roman"/>
      <w:sz w:val="21"/>
      <w:szCs w:val="24"/>
      <w:lang w:val="en-US" w:eastAsia="zh-CN" w:bidi="ar-SA"/>
    </w:rPr>
  </w:style>
  <w:style w:type="character" w:styleId="865" w:customStyle="1">
    <w:name w:val="font41"/>
    <w:basedOn w:val="789"/>
    <w:uiPriority w:val="0"/>
    <w:qFormat/>
    <w:rPr>
      <w:rFonts w:hint="eastAsia" w:ascii="宋体" w:hAnsi="宋体" w:eastAsia="宋体" w:cs="宋体"/>
      <w:color w:val="000000"/>
      <w:sz w:val="20"/>
      <w:szCs w:val="20"/>
      <w:u w:val="none"/>
    </w:rPr>
  </w:style>
  <w:style w:type="paragraph" w:styleId="866" w:customStyle="1">
    <w:name w:val="正文首行缩进 21"/>
    <w:basedOn w:val="867"/>
    <w:uiPriority w:val="0"/>
    <w:qFormat/>
    <w:pPr>
      <w:ind w:firstLine="420"/>
    </w:pPr>
  </w:style>
  <w:style w:type="paragraph" w:styleId="867" w:customStyle="1">
    <w:name w:val="正文文本缩进1"/>
    <w:basedOn w:val="779"/>
    <w:uiPriority w:val="0"/>
    <w:qFormat/>
    <w:pPr>
      <w:ind w:left="420"/>
      <w:spacing w:after="120"/>
    </w:pPr>
  </w:style>
  <w:style w:type="character" w:styleId="868" w:customStyle="1">
    <w:name w:val="font21"/>
    <w:basedOn w:val="789"/>
    <w:uiPriority w:val="0"/>
    <w:qFormat/>
    <w:rPr>
      <w:rFonts w:hint="eastAsia" w:ascii="宋体" w:hAnsi="宋体" w:eastAsia="宋体" w:cs="宋体"/>
      <w:color w:val="000000"/>
      <w:sz w:val="24"/>
      <w:szCs w:val="24"/>
      <w:u w:val="none"/>
    </w:rPr>
  </w:style>
  <w:style w:type="character" w:styleId="869">
    <w:name w:val="Placeholder Text"/>
    <w:basedOn w:val="789"/>
    <w:uiPriority w:val="99"/>
    <w:unhideWhenUsed/>
    <w:qFormat/>
    <w:rPr>
      <w:color w:val="666666"/>
    </w:rPr>
  </w:style>
  <w:style w:type="paragraph" w:styleId="870" w:customStyle="1">
    <w:name w:val="正文首行缩进11"/>
    <w:basedOn w:val="871"/>
    <w:uiPriority w:val="0"/>
    <w:qFormat/>
    <w:pPr>
      <w:ind w:firstLine="200"/>
      <w:spacing w:line="360" w:lineRule="auto"/>
    </w:pPr>
    <w:rPr>
      <w:rFonts w:ascii="仿宋_GB2312" w:hAnsi="Times New Roman" w:eastAsia="仿宋_GB2312"/>
      <w:sz w:val="30"/>
      <w:szCs w:val="30"/>
    </w:rPr>
  </w:style>
  <w:style w:type="paragraph" w:styleId="871" w:customStyle="1">
    <w:name w:val="正文文本11"/>
    <w:basedOn w:val="779"/>
    <w:next w:val="779"/>
    <w:uiPriority w:val="0"/>
    <w:qFormat/>
    <w:rPr>
      <w:rFonts w:ascii="楷体_GB2312" w:hAnsi="Arial" w:eastAsia="楷体_GB2312"/>
      <w:sz w:val="28"/>
      <w:szCs w:val="28"/>
      <w:lang w:eastAsia="en-US"/>
    </w:rPr>
  </w:style>
  <w:style w:type="numbering" w:styleId="468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施琦</cp:lastModifiedBy>
  <cp:revision>4</cp:revision>
  <dcterms:created xsi:type="dcterms:W3CDTF">2025-12-01T07:42:00Z</dcterms:created>
  <dcterms:modified xsi:type="dcterms:W3CDTF">2025-12-24T08:28:55Z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eyJoZGlkIjoiMGE1YjBhODk1ZDI2MTk5NDU0NDQ1YmFhOTQ5ZTg2YTQiLCJ1c2VySWQiOiI1ODY3MzQ2NTQifQ==</vt:lpwstr>
  </property>
  <property fmtid="{D5CDD505-2E9C-101B-9397-08002B2CF9AE}" pid="3" name="KSOProductBuildVer">
    <vt:lpwstr>2052-12.1.0.23542</vt:lpwstr>
  </property>
  <property fmtid="{D5CDD505-2E9C-101B-9397-08002B2CF9AE}" pid="4" name="ICV">
    <vt:lpwstr>E57F8D8C029C42C6827DF4C4CC37F4E9_13</vt:lpwstr>
  </property>
</Properties>
</file>